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Harris, Murr, Davis, et al.</w:t>
      </w:r>
      <w:r xml:space="preserve">
        <w:tab wTab="150" tlc="none" cTlc="0"/>
      </w:r>
      <w:r>
        <w:t xml:space="preserve">H.B.</w:t>
      </w:r>
      <w:r xml:space="preserve">
        <w:t> </w:t>
      </w:r>
      <w:r>
        <w:t xml:space="preserve">No.</w:t>
      </w:r>
      <w:r xml:space="preserve">
        <w:t> </w:t>
      </w:r>
      <w:r>
        <w:t xml:space="preserve">3158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recovery </w:t>
      </w:r>
      <w:r>
        <w:t xml:space="preserve">of exemplary damages based on a compensable death under the Texas Workers' Compensation Act.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SHORT TITLE.  This Act may be cited as the Christion Fitzgerald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408.001(b), Labor Code, is amended to read as follows:</w:t>
      </w:r>
    </w:p>
    <w:p w:rsidR="003F3435" w:rsidRDefault="0032493E">
      <w:pPr>
        <w:spacing w:line="480" w:lineRule="auto"/>
        <w:ind w:firstLine="720"/>
        <w:jc w:val="both"/>
      </w:pPr>
      <w:r>
        <w:t xml:space="preserve">(b)</w:t>
      </w:r>
      <w:r xml:space="preserve">
        <w:t> </w:t>
      </w:r>
      <w:r xml:space="preserve">
        <w:t> </w:t>
      </w:r>
      <w:r>
        <w:t xml:space="preserve">This section does not prohibit the recovery of exemplary damages by the surviving spouse</w:t>
      </w:r>
      <w:r>
        <w:rPr>
          <w:u w:val="single"/>
        </w:rPr>
        <w:t xml:space="preserve">,</w:t>
      </w:r>
      <w:r>
        <w:t xml:space="preserve"> [</w:t>
      </w:r>
      <w:r>
        <w:rPr>
          <w:strike/>
        </w:rPr>
        <w:t xml:space="preserve">or</w:t>
      </w:r>
      <w:r>
        <w:t xml:space="preserve">] heirs of the body</w:t>
      </w:r>
      <w:r>
        <w:rPr>
          <w:u w:val="single"/>
        </w:rPr>
        <w:t xml:space="preserve">, or the estate</w:t>
      </w:r>
      <w:r>
        <w:t xml:space="preserve"> of a deceased employee whose death was caused by an intentional act or omission of the employer or by the employer's gross negligence.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 claim for workers' compensation benefits based on a compensable injury that occurs on or after the effective date of this Act.  A claim based on a compensable injury that occurs before that date is governed by the law in effect on the date that the compensable injury occurred,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3158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