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87R20617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150.002, Civil Practice and Remedies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(i), in</w:t>
      </w:r>
      <w:r>
        <w:t xml:space="preserve"> [</w:t>
      </w:r>
      <w:r>
        <w:rPr>
          <w:strike/>
        </w:rPr>
        <w:t xml:space="preserve">In</w:t>
      </w:r>
      <w:r>
        <w:t xml:space="preserve">] any action or arbitration proceeding for damages arising out of the provision of professional services by a licensed or registered professional, a claimant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t xml:space="preserve">practices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third-party plaintiff that is a design-builder or design-build firm is not required to file an affidavit  described by Subsection (a) in connection with filing a third-party claim or cross-claim against a licensed or registered professional if the action or arbitration proceeding arises out of a design-build project in which a governmental entity contracts with a single entity to provide both design and construction services for the construction, expansion, extension, rehabilitation, alteration, or repair of a facility, a building or associated structure, a civil works project, or a highway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