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87R12469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cold weather preparedness of gas wells and pipeline facilities;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COLD WEATHER PREPAREDNESS.  (a) </w:t>
      </w:r>
      <w:r>
        <w:rPr>
          <w:u w:val="single"/>
        </w:rPr>
        <w:t xml:space="preserve"> </w:t>
      </w:r>
      <w:r>
        <w:rPr>
          <w:u w:val="single"/>
        </w:rPr>
        <w:t xml:space="preserve">The commission by rule shall require an operator of a gas well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the well to operate during sustained periods of cold weather;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commission a biannual report of the efforts the operator has taken to implement the measures required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failure to submit a report under Subsection (a)(2)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a fine of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subsequent or continuing violation of more than four months: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fine of $7,500;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revocation of each permit authorizing the operation of a well for which a report has not been submitted.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submit an annual report to the legislature regarding the implementation of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121.2015, Utilities Code, is amended by amending Subsection (a) and adding Subsections (d), (e), (f), and (g)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sustained periods of cold weather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Measures adopted under Subsection (a)(3)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installation of condensate drains in pipelines;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drains installed under Subdivision (1) be  installed in a manner that ensures the drains remain free of frost at all times;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valves, pumps, and other pressure-sensitive equipment be protected from weather by insulation or heaters.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pipeline facility operator shall submit to the railroad commission a biannual report of the efforts the operator has taken to implement the measures required under Subsection (a)(3).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failure to submit a report under Subsection (e)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a fine of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subsequent or continuing violation of more than four months: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fine of $7,500;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revocation of the permit authorizing the operation of the pipeline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railroad commission shall submit an annual report to the legislature regarding the implementation of rules adopted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first reports required under Sections 86.044(a)(2), Natural Resources Code, and 121.2015(e), Utilities Code, as added by this Act, must be submitted to the Railroad Commission of Texas not later than March 1, 2022.</w:t>
      </w:r>
    </w:p>
    <w:p w:rsidR="003F3435" w:rsidRDefault="0032493E">
      <w:pPr>
        <w:spacing w:line="480" w:lineRule="auto"/>
        <w:ind w:firstLine="720"/>
        <w:jc w:val="both"/>
      </w:pPr>
      <w:r>
        <w:t xml:space="preserve">(b)</w:t>
      </w:r>
      <w:r xml:space="preserve">
        <w:t> </w:t>
      </w:r>
      <w:r xml:space="preserve">
        <w:t> </w:t>
      </w:r>
      <w:r>
        <w:t xml:space="preserve">In addition to the reports required under Sections 86.044(c), Natural Resources Code, and 121.2015(g), Utilities Code, as added by this Act, the Railroad Commission of Texas shall submit to the legislature an interim report not later than March 1, 2022, regarding the implementation of changes in law made by this Act.</w:t>
      </w:r>
    </w:p>
    <w:p w:rsidR="003F3435" w:rsidRDefault="0032493E">
      <w:pPr>
        <w:spacing w:line="480" w:lineRule="auto"/>
        <w:ind w:firstLine="720"/>
        <w:jc w:val="both"/>
      </w:pPr>
      <w:r>
        <w:t xml:space="preserve">(c)</w:t>
      </w:r>
      <w:r xml:space="preserve">
        <w:t> </w:t>
      </w:r>
      <w:r xml:space="preserve">
        <w:t> </w:t>
      </w:r>
      <w:r>
        <w:t xml:space="preserve">Not later than September 1 of each year beginning in 2022, the Railroad Commission of Texas shall submit to the legislature the annual reports required by Sections 86.044(c), Natural Resources Code, and 121.2015(g),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