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87R10031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3188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divorce on the ground of insupportability.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6.001, Family Code, is amended to read as follows:</w:t>
      </w:r>
    </w:p>
    <w:p w:rsidR="003F3435" w:rsidRDefault="0032493E">
      <w:pPr>
        <w:spacing w:line="480" w:lineRule="auto"/>
        <w:ind w:firstLine="720"/>
        <w:jc w:val="both"/>
      </w:pPr>
      <w:r>
        <w:t xml:space="preserve">Sec.</w:t>
      </w:r>
      <w:r xml:space="preserve">
        <w:t> </w:t>
      </w:r>
      <w:r>
        <w:t xml:space="preserve">6.001.</w:t>
      </w:r>
      <w:r xml:space="preserve">
        <w:t> </w:t>
      </w:r>
      <w:r xml:space="preserve">
        <w:t> </w:t>
      </w:r>
      <w:r>
        <w:t xml:space="preserve">INSUPPORTABILITY.  On the petition of either party to a marriage, the court may grant a divorce without regard to fault if </w:t>
      </w:r>
      <w:r>
        <w:rPr>
          <w:u w:val="single"/>
        </w:rPr>
        <w:t xml:space="preserve">both parties to the marriage agree that</w:t>
      </w:r>
      <w:r>
        <w:t xml:space="preserve"> the marriage has become insupportable because of discord or conflict of personalities that destroys the legitimate ends of the marital relationship and prevents any reasonable expectation of reconciliation.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suit for divorce that is filed on or after the effective date of this Act.  A suit for divorce filed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