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87R10544 SMT-F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H.B.</w:t>
      </w:r>
      <w:r xml:space="preserve">
        <w:t> </w:t>
      </w:r>
      <w:r>
        <w:t xml:space="preserve">No.</w:t>
      </w:r>
      <w:r xml:space="preserve">
        <w:t> </w:t>
      </w:r>
      <w:r>
        <w:t xml:space="preserve">3189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sales and use tax exemption for school supplies purchased by a teacher.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151, Tax Code, is amended by adding Section 151.3271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151.3271.</w:t>
      </w:r>
      <w:r>
        <w:rPr>
          <w:u w:val="single"/>
        </w:rPr>
        <w:t xml:space="preserve"> </w:t>
      </w:r>
      <w:r>
        <w:rPr>
          <w:u w:val="single"/>
        </w:rPr>
        <w:t xml:space="preserve"> </w:t>
      </w:r>
      <w:r>
        <w:rPr>
          <w:u w:val="single"/>
        </w:rPr>
        <w:t xml:space="preserve">SCHOOL SUPPLIES PURCHASED BY TEACHER.  (a) In this section, "school supply" has the meaning assigned by Section 151.327.</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sale, storage, use, or other consumption of a school supply is exempted from the taxes imposed by this chapter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school supply is purchased for use by a teacher in a public, private, or open-enrollment charter school that provides primary or secondary education;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sales price of the school supply is less than $100.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retailer is not required to obtain an exemption certificate stating that school supplies are purchased for use by a teacher in a public, private, or open-enrollment charter school unless the school supplies are purchased in a quantity that indicates that the school supplies are not purchased for use by a teacher at a public, private, or open-enrollment charter school.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by rule shall prescribe the manner in which a person may establish that the person is a teacher who is eligible for the exemption provided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exemption provided by Section 151.3271(b), Tax Code, as added by this Act, applies only to a purchase made on or after January 1, 2022.</w:t>
      </w:r>
    </w:p>
    <w:p w:rsidR="003F3435" w:rsidRDefault="0032493E">
      <w:pPr>
        <w:spacing w:line="480" w:lineRule="auto"/>
        <w:ind w:firstLine="720"/>
        <w:jc w:val="both"/>
      </w:pPr>
      <w:r>
        <w:t xml:space="preserve">(b)</w:t>
      </w:r>
      <w:r xml:space="preserve">
        <w:t> </w:t>
      </w:r>
      <w:r xml:space="preserve">
        <w:t> </w:t>
      </w:r>
      <w:r>
        <w:t xml:space="preserve">The changes in law made by this Act do not affect tax liability accruing before January 1, 2022.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