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87R10035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3190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waiting period for a divorce on the grounds of insupportability.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6.702, Family Code, is amended by amending Subsections (a) and (c) and adding Subsections (a-1) and (d)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w:t>
      </w:r>
      <w:r>
        <w:rPr>
          <w:u w:val="single"/>
        </w:rPr>
        <w:t xml:space="preserve">(a-1) or</w:t>
      </w:r>
      <w:r>
        <w:t xml:space="preserve"> </w:t>
      </w:r>
      <w:r>
        <w:t xml:space="preserve">(c), the court may not grant a divorce before the 60th day after the date the suit was filed.  [</w:t>
      </w:r>
      <w:r>
        <w:rPr>
          <w:strike/>
        </w:rPr>
        <w:t xml:space="preserve">A decree rendered in violation of this subsection is not subject to collateral attack.</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Subsection (c), the court may not grant a divorce on the grounds of insupportability before the 180th day after the date the suit was filed if the household of one of the spouses is the primary residence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child under the age of 18;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child 18 years of age who is attending high school;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adult disabled child as described by Section 154.302.</w:t>
      </w:r>
    </w:p>
    <w:p w:rsidR="003F3435" w:rsidRDefault="0032493E">
      <w:pPr>
        <w:spacing w:line="480" w:lineRule="auto"/>
        <w:ind w:firstLine="720"/>
        <w:jc w:val="both"/>
      </w:pPr>
      <w:r>
        <w:t xml:space="preserve">(c)</w:t>
      </w:r>
      <w:r xml:space="preserve">
        <w:t> </w:t>
      </w:r>
      <w:r xml:space="preserve">
        <w:t> </w:t>
      </w:r>
      <w:r>
        <w:t xml:space="preserve">A waiting period is not required under Subsection (a) </w:t>
      </w:r>
      <w:r>
        <w:rPr>
          <w:u w:val="single"/>
        </w:rPr>
        <w:t xml:space="preserve">or (a-1)</w:t>
      </w:r>
      <w:r>
        <w:t xml:space="preserve"> before a court may grant a divorce in a suit in which the court finds that:</w:t>
      </w:r>
    </w:p>
    <w:p w:rsidR="003F3435" w:rsidRDefault="0032493E">
      <w:pPr>
        <w:spacing w:line="480" w:lineRule="auto"/>
        <w:ind w:firstLine="1440"/>
        <w:jc w:val="both"/>
      </w:pPr>
      <w:r>
        <w:t xml:space="preserve">(1)</w:t>
      </w:r>
      <w:r xml:space="preserve">
        <w:t> </w:t>
      </w:r>
      <w:r xml:space="preserve">
        <w:t> </w:t>
      </w:r>
      <w:r>
        <w:t xml:space="preserve">the respondent has been finally convicted of or received deferred adjudication for an offense involving family violence as defined by Section 71.004 against the petitioner or a member of the petitioner's household; or</w:t>
      </w:r>
    </w:p>
    <w:p w:rsidR="003F3435" w:rsidRDefault="0032493E">
      <w:pPr>
        <w:spacing w:line="480" w:lineRule="auto"/>
        <w:ind w:firstLine="1440"/>
        <w:jc w:val="both"/>
      </w:pPr>
      <w:r>
        <w:t xml:space="preserve">(2)</w:t>
      </w:r>
      <w:r xml:space="preserve">
        <w:t> </w:t>
      </w:r>
      <w:r xml:space="preserve">
        <w:t> </w:t>
      </w:r>
      <w:r>
        <w:t xml:space="preserve">the petitioner has an active protective order under Title 4 or an active magistrate's order for emergency protection under Article 17.292, Code of Criminal Procedure, based on a finding of family violence, against the respondent because of family violence committed during the marriage.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decree rendered in violation of Subsection (a) or (a-1) is not subject to collateral attack.</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to Section 6.702, Family Code, applies only to a suit for dissolution of a marriage filed on or after the effective date of this Act.  A suit for dissolution of a marriage filed before the effective date of this Act is governed by the law in effect on the date the suit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