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87R8171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3196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the provision of conversion therapy to an individual by health care providers and certain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105, Occupations Code, is amended by adding Section 105.003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105.003.</w:t>
      </w:r>
      <w:r>
        <w:rPr>
          <w:u w:val="single"/>
        </w:rPr>
        <w:t xml:space="preserve"> </w:t>
      </w:r>
      <w:r>
        <w:rPr>
          <w:u w:val="single"/>
        </w:rPr>
        <w:t xml:space="preserve"> </w:t>
      </w:r>
      <w:r>
        <w:rPr>
          <w:u w:val="single"/>
        </w:rPr>
        <w:t xml:space="preserve">CONVERSION THERAPY PROHIBITED.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"Conversion therapy"</w:t>
      </w:r>
      <w:r>
        <w:rPr>
          <w:u w:val="single"/>
        </w:rPr>
        <w:t xml:space="preserve"> </w:t>
      </w:r>
      <w:r>
        <w:rPr>
          <w:u w:val="single"/>
        </w:rPr>
        <w:t xml:space="preserve">means a practice or treatment provided to an individual by a health care provider that seeks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change the individual's sexual orientation, including by attempting to change the individual's behavior or gender identity or expression;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eliminate or reduce the individual's sexual or romantic attractions or feelings toward individuals of the same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"Gender identity or expression" means an individual's having, or being perceived as having, a gender-related identity, appearance, expression, or behavior, whether or not that identity, appearance, expression, or behavior is different from that commonly associated with the individual's assigned sex at birth.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"Sexual orientation" means the actual or perceived status of an individual with respect to the individual's sexuality.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health care services that provide acceptance, support, and understanding of an individual or facilitate an individual's coping, social support, and identity exploration and development, including sexual orientation-neutral interventions to prevent or address unlawful conduct or unsafe sexual practices, if that health care service does not seek to change sexual orientation or gender identity or expression.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in the course of providing services to an individual, provide conversion therapy.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care provider who provides conversion therapy in violation of Subsection (c) is subject to disciplinary action by any state regulatory entity with the power to take disciplinary action against that health care provider.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allowed by law, a nonprofit entity that permits a health care provider or an individual who is not licensed as a health care provider under this title or any other law to provide conversion therapy through the entity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termination by the secretary of state to the same extent and in the same manner as provided under Section 11.251, Business Organizations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loss of an exemption from the franchise tax under Section 171.063(a), Tax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105.003, Occupations Code, as added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