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H.B.</w:t>
      </w:r>
      <w:r xml:space="preserve">
        <w:t> </w:t>
      </w:r>
      <w:r>
        <w:t xml:space="preserve">No.</w:t>
      </w:r>
      <w:r xml:space="preserve">
        <w:t> </w:t>
      </w:r>
      <w:r>
        <w:t xml:space="preserve">3211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civics instruction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21, Education Code, is amended by adding Section 21.4555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21.4555.</w:t>
      </w:r>
      <w:r>
        <w:rPr>
          <w:u w:val="single"/>
        </w:rPr>
        <w:t xml:space="preserve"> </w:t>
      </w:r>
      <w:r>
        <w:rPr>
          <w:u w:val="single"/>
        </w:rPr>
        <w:t xml:space="preserve"> </w:t>
      </w:r>
      <w:r>
        <w:rPr>
          <w:u w:val="single"/>
        </w:rPr>
        <w:t xml:space="preserve">CIVICS ACADEMIES.  (a)  The commissioner shall develop and make available civics academies for teachers and administrators.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determine to what grade levels the civics academies apply.  In making that determination, the commissioner shall include grade levels for which the State Board of Education makes significant revisions to the Texas essential knowledge and skills under Section 28.0025.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civics academy developed under this section must include training in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citizenship or civics and related social studies knowledge and skills as adopted by the State Board of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guided classroom discussion of current events, as appropriate for the grade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simulations and models of governmental and democratic processes;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media literacy, including instruction in verification of information and sources and the identification of propaganda, as appropriate for the grade level;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strategies for incorporating civics instruction into other subject areas.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From funds appropriated for that purpose, a teacher who attends a civics academy may receive a stipend in the amount determined by the commissioner.  A stipend received under this subsection is not considered in determining whether a district is paying the teacher the minimum monthly salary under Section 21.402.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of the commissioner, regional education service centers shall assist the commissioner and agency with training and other activities relating to the development and operation of civics academies.  The commissioner may seek additional assistance from other public and private providers.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is required to implement this section only if the legislature appropriates money specifically for that purpose.  If the legislature does not appropriate money specifically for that purpose, the commissioner may, but is not required to, implement this section using other appropriations available for that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28, Education Code, is amended by adding Sections 28.0025 and 28.0201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28.0025.</w:t>
      </w:r>
      <w:r>
        <w:rPr>
          <w:u w:val="single"/>
        </w:rPr>
        <w:t xml:space="preserve"> </w:t>
      </w:r>
      <w:r>
        <w:rPr>
          <w:u w:val="single"/>
        </w:rPr>
        <w:t xml:space="preserve"> </w:t>
      </w:r>
      <w:r>
        <w:rPr>
          <w:u w:val="single"/>
        </w:rPr>
        <w:t xml:space="preserve">CIVICS CURRICULUM UPDATE.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"Civic attitudes" means appreciating the importance and responsibility of participation in civic life; gaining values such as commitment to the United States' system of government and appreciation for free speech and civil discourse; and developing civic self-efficiency and understanding of perspectives that differ from one's own.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"Civic behaviors" means practicing civic habits, including voting, engaging in deliberative discussions, volunteering, attending public meetings, and other civic activities.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"Civic knowledge" means an understanding of the history and heritage of civic life; the structure, functions, and processes of civic institutions at all levels; founding-era documents; geography and economics that affect public policy; and the role of the citizen.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"Civic skills" means the abilities necessary to participate as an active and responsible citizen in a republic; effectively engage in the civic life and civic institutions of one's community, state, and nation; analyze text and determine the reliability of sources; formulate and articulate reasoned positions; and actively listen and engage in civil discourse.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ensure the students of Texas possess sufficient knowledge of history to effectively engage in the civil discourse of the republic and fulfill the requirements of Section 28.002(h), the State Board of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kindergarten through grade six, revise the essential knowledge and skills for social studies to address essential civic education, including civic knowledge, civic skills, civic attitudes, and civic behaviors, and ensure sufficient knowledge of history necessary to ensure proper context for the understanding of civic knowledge, civic skills, civic attitudes, and civic behaviors;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grade seven through grade twelve, streamline the essential knowledge and skills for social studies to enhance civic knowledge, civic skills, civic attitudes, and civic behaviors.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review prekindergarten guidelines and incorporate revisions, if necessary, based on the revisions to the essential knowledge and skills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Board of Education shall adopt a recommended reading list for kindergarten through grade twelve of civics-focused texts that address the content of the social studies essential knowledge and skills for each grade that can be used in conjunction with teaching the English and Spanish language arts and reading standards.  The texts should, at a minimum: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build background knowledge and vocabulary in elementary grades;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rich study in rhetoric, reasoning, and argumentation in secondary grades.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make the reading list in Subsection (d) available to every public school in the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shall review current research and resources and provide proposed revisions to the applicable essential knowledge and skills and a preliminary reading list as a starting point for the State Board of Education's use in executing its duties under Subsections (b) and (d).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Board of Education shall adopt revisions under this section on a timeline that allows the development of academies under Section 21.4555 and compliance by public schools with Section 28.0201 by the timeline established in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28.0201.</w:t>
      </w:r>
      <w:r>
        <w:rPr>
          <w:u w:val="single"/>
        </w:rPr>
        <w:t xml:space="preserve"> </w:t>
      </w:r>
      <w:r>
        <w:rPr>
          <w:u w:val="single"/>
        </w:rPr>
        <w:t xml:space="preserve"> </w:t>
      </w:r>
      <w:r>
        <w:rPr>
          <w:u w:val="single"/>
        </w:rPr>
        <w:t xml:space="preserve">CIVICS INSTRUCTION.  (a)  Each school district and open-enrollment charter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integrate civics materials into its curriculum in non-social studies courses, as appropriate;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each campus with grade levels identified by the commissioner in Section 21.4555(b) has at least one teacher and either a principal or a campus instructional leader who has attended a civics academy developed under Section 21.4555.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provide assistance to school districts and open-enrollment charter schools in complying with the requirements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 does not apply until school year 2024-2025. This subsection expires September 1, 2027.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delay implementation of Subsection (a) to a school year no later than school year 2026-2027, if the revision of curriculum under Section 28.0025 or the availability of civics academies does not occur at a pace that reasonably affords public schools the ability to comply with Subsection (a).  This subsection expires September 1, 2027.</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Subsections (c) and (d), the commissioner may delay implementation of the requirement of Subsection (a)(2) if, in accordance with Section 21.4555(f), civics academies have not been developed or sufficiently developed to allow school districts and open-enrollment charter schools to comply with that requirement.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39.023, Education Code, is amended by adding Subsection (c-9) to read as follows:</w:t>
      </w:r>
    </w:p>
    <w:p w:rsidR="003F3435" w:rsidRDefault="0032493E">
      <w:pPr>
        <w:spacing w:line="480" w:lineRule="auto"/>
        <w:ind w:firstLine="720"/>
        <w:jc w:val="both"/>
      </w:pPr>
      <w:r>
        <w:rPr>
          <w:u w:val="single"/>
        </w:rPr>
        <w:t xml:space="preserve">(c-9)</w:t>
      </w:r>
      <w:r>
        <w:rPr>
          <w:u w:val="single"/>
        </w:rPr>
        <w:t xml:space="preserve"> </w:t>
      </w:r>
      <w:r>
        <w:rPr>
          <w:u w:val="single"/>
        </w:rPr>
        <w:t xml:space="preserve"> </w:t>
      </w:r>
      <w:r>
        <w:rPr>
          <w:u w:val="single"/>
        </w:rPr>
        <w:t xml:space="preserve">An assessment instrument developed under Subsection (a) or (c) may include excerpts from texts included on the recommended reading list adopted under Section 28.0025(d).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Texas Education Agency is required to implement a provision of this Act only if the legislature appropriates money specifically for that purpose.  If the legislature does not appropriate money specifically for that purpose, the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