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87R16214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3215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3215:</w:t>
      </w: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C.S.H.B.</w:t>
      </w:r>
      <w:r xml:space="preserve">
        <w:t> </w:t>
      </w:r>
      <w:r>
        <w:t xml:space="preserve">No.</w:t>
      </w:r>
      <w:r xml:space="preserve">
        <w:t> </w:t>
      </w:r>
      <w:r>
        <w:t xml:space="preserve">3215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energy efficiency building standards.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388.003(i) and (j), Health and Safety Code, are amended to read as follows:</w:t>
      </w:r>
    </w:p>
    <w:p w:rsidR="003F3435" w:rsidRDefault="0032493E">
      <w:pPr>
        <w:spacing w:line="480" w:lineRule="auto"/>
        <w:ind w:firstLine="720"/>
        <w:jc w:val="both"/>
      </w:pPr>
      <w:r>
        <w:t xml:space="preserve">(i)</w:t>
      </w:r>
      <w:r xml:space="preserve">
        <w:t> </w:t>
      </w:r>
      <w:r xml:space="preserve">
        <w:t> </w:t>
      </w:r>
      <w:r>
        <w:t xml:space="preserve">A building certified by a national, state, or local accredited energy efficiency program and determined by the laboratory to be in compliance with the energy efficiency requirements of this section may, at the option of the municipality, be considered in compliance. </w:t>
      </w:r>
      <w:r>
        <w:t xml:space="preserve"> </w:t>
      </w:r>
      <w:r>
        <w:t xml:space="preserve">The United States Environmental Protection Agency's Energy Star Program certification of energy code equivalency shall be considered in compliance. </w:t>
      </w:r>
      <w:r>
        <w:t xml:space="preserve"> </w:t>
      </w:r>
      <w:r>
        <w:rPr>
          <w:u w:val="single"/>
        </w:rPr>
        <w:t xml:space="preserve">Standard 301 of the American National Standard for the Calculation and Labeling of the Energy Performance of Dwelling and Sleeping Units using an Energy Rating Index, commonly cited as ANSI/RESNET/ICC 301, as it existed on January 1, 2021,</w:t>
      </w:r>
      <w:r>
        <w:t xml:space="preserve"> [</w:t>
      </w:r>
      <w:r>
        <w:rPr>
          <w:strike/>
        </w:rPr>
        <w:t xml:space="preserve">The Energy Rating Index Compliance Alternative or subsequent alternative compliance path as described by Subsection (j)</w:t>
      </w:r>
      <w:r>
        <w:t xml:space="preserve">] shall be considered in compliance.</w:t>
      </w:r>
    </w:p>
    <w:p w:rsidR="003F3435" w:rsidRDefault="0032493E">
      <w:pPr>
        <w:spacing w:line="480" w:lineRule="auto"/>
        <w:ind w:firstLine="720"/>
        <w:jc w:val="both"/>
      </w:pPr>
      <w:r>
        <w:t xml:space="preserve">(j)</w:t>
      </w:r>
      <w:r xml:space="preserve">
        <w:t> </w:t>
      </w:r>
      <w:r xml:space="preserve">
        <w:t> </w:t>
      </w:r>
      <w:r>
        <w:t xml:space="preserve">For the purposes of this chapter, </w:t>
      </w:r>
      <w:r>
        <w:rPr>
          <w:u w:val="single"/>
        </w:rPr>
        <w:t xml:space="preserve">Standard 301 of the American National Standard for the Calculation and Labeling of the Energy Performance of Dwelling and Sleeping Units using an Energy Rating Index, commonly cited as ANSI/RESNET/ICC 301, as it existed on January 1, 2021,</w:t>
      </w:r>
      <w:r>
        <w:t xml:space="preserve"> [</w:t>
      </w:r>
      <w:r>
        <w:rPr>
          <w:strike/>
        </w:rPr>
        <w:t xml:space="preserve">the Energy Rating Index Compliance Alternative or subsequent alternative compliance path</w:t>
      </w:r>
      <w:r>
        <w:t xml:space="preserve">] used to measure compliance for single-family residential construction in an optional compliance path of the energy efficiency chapter of the International Residential Code that uses an energy rating index is as follows:</w:t>
      </w:r>
    </w:p>
    <w:p w:rsidR="003F3435" w:rsidRDefault="0032493E">
      <w:pPr>
        <w:spacing w:line="480" w:lineRule="auto"/>
        <w:ind w:firstLine="1440"/>
        <w:jc w:val="both"/>
      </w:pPr>
      <w:r>
        <w:t xml:space="preserve">(1)</w:t>
      </w:r>
      <w:r xml:space="preserve">
        <w:t> </w:t>
      </w:r>
      <w:r xml:space="preserve">
        <w:t> </w:t>
      </w:r>
      <w:r>
        <w:t xml:space="preserve">for climate zone 2, an energy rating index of:</w:t>
      </w:r>
    </w:p>
    <w:p w:rsidR="003F3435" w:rsidRDefault="0032493E">
      <w:pPr>
        <w:spacing w:line="480" w:lineRule="auto"/>
        <w:ind w:firstLine="2160"/>
        <w:jc w:val="both"/>
      </w:pPr>
      <w:r>
        <w:t xml:space="preserve">(A)</w:t>
      </w:r>
      <w:r xml:space="preserve">
        <w:t> </w:t>
      </w:r>
      <w:r xml:space="preserve">
        <w:t> </w:t>
      </w:r>
      <w:r>
        <w:t xml:space="preserve">[</w:t>
      </w:r>
      <w:r>
        <w:rPr>
          <w:strike/>
        </w:rPr>
        <w:t xml:space="preserve">65 or lower from September 1, 2016, to August 31, 2019;</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63 or lower from September 1, 2019, to August 31, 2022; and</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59 or lower on or after September 1, 2022;</w:t>
      </w:r>
    </w:p>
    <w:p w:rsidR="003F3435" w:rsidRDefault="0032493E">
      <w:pPr>
        <w:spacing w:line="480" w:lineRule="auto"/>
        <w:ind w:firstLine="1440"/>
        <w:jc w:val="both"/>
      </w:pPr>
      <w:r>
        <w:t xml:space="preserve">(2)</w:t>
      </w:r>
      <w:r xml:space="preserve">
        <w:t> </w:t>
      </w:r>
      <w:r xml:space="preserve">
        <w:t> </w:t>
      </w:r>
      <w:r>
        <w:t xml:space="preserve">for climate zone 3, an energy rating index of:</w:t>
      </w:r>
    </w:p>
    <w:p w:rsidR="003F3435" w:rsidRDefault="0032493E">
      <w:pPr>
        <w:spacing w:line="480" w:lineRule="auto"/>
        <w:ind w:firstLine="2160"/>
        <w:jc w:val="both"/>
      </w:pPr>
      <w:r>
        <w:t xml:space="preserve">(A)</w:t>
      </w:r>
      <w:r xml:space="preserve">
        <w:t> </w:t>
      </w:r>
      <w:r xml:space="preserve">
        <w:t> </w:t>
      </w:r>
      <w:r>
        <w:t xml:space="preserve">[</w:t>
      </w:r>
      <w:r>
        <w:rPr>
          <w:strike/>
        </w:rPr>
        <w:t xml:space="preserve">65 or lower from September 1, 2016, to August 31, 2019;</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63 or lower from September 1, 2019, to August 31, 2022; and</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59 or lower on or after September 1, 2022; and</w:t>
      </w:r>
    </w:p>
    <w:p w:rsidR="003F3435" w:rsidRDefault="0032493E">
      <w:pPr>
        <w:spacing w:line="480" w:lineRule="auto"/>
        <w:ind w:firstLine="1440"/>
        <w:jc w:val="both"/>
      </w:pPr>
      <w:r>
        <w:t xml:space="preserve">(3)</w:t>
      </w:r>
      <w:r xml:space="preserve">
        <w:t> </w:t>
      </w:r>
      <w:r xml:space="preserve">
        <w:t> </w:t>
      </w:r>
      <w:r>
        <w:t xml:space="preserve">for climate zone 4, an energy rating index of:</w:t>
      </w:r>
    </w:p>
    <w:p w:rsidR="003F3435" w:rsidRDefault="0032493E">
      <w:pPr>
        <w:spacing w:line="480" w:lineRule="auto"/>
        <w:ind w:firstLine="2160"/>
        <w:jc w:val="both"/>
      </w:pPr>
      <w:r>
        <w:t xml:space="preserve">(A)</w:t>
      </w:r>
      <w:r xml:space="preserve">
        <w:t> </w:t>
      </w:r>
      <w:r xml:space="preserve">
        <w:t> </w:t>
      </w:r>
      <w:r>
        <w:t xml:space="preserve">[</w:t>
      </w:r>
      <w:r>
        <w:rPr>
          <w:strike/>
        </w:rPr>
        <w:t xml:space="preserve">69 or lower from September 1, 2016, to August 31, 2019;</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67 or lower from September 1, 2019, to August 31, 2022; and</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63 or lower on or after September 1, 2022.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388.003(k),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