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87R5291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energy efficiency building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388.003(i),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A building certified by a national, state, or local accredited energy efficiency program and determined by the laboratory to be in compliance with the energy efficiency requirements of this section may, at the option of the municipality, be considered in compliance. </w:t>
      </w:r>
      <w:r>
        <w:t xml:space="preserve"> </w:t>
      </w:r>
      <w:r>
        <w:t xml:space="preserve">The </w:t>
      </w:r>
      <w:r>
        <w:rPr>
          <w:u w:val="single"/>
        </w:rPr>
        <w:t xml:space="preserve">following are considered in compliance: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United States Environmental Protection Agency's Energy Star Program certification of energy code equivalency</w:t>
      </w:r>
      <w:r>
        <w:rPr>
          <w:u w:val="single"/>
        </w:rPr>
        <w:t xml:space="preserve">;</w:t>
      </w:r>
      <w:r>
        <w:t xml:space="preserve"> [</w:t>
      </w:r>
      <w:r>
        <w:rPr>
          <w:strike/>
        </w:rPr>
        <w:t xml:space="preserve">shall be considered in compliance.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 301 of the American National Standard for the Calculation and Labeling of the Energy Performance of Dwelling and Sleeping Units using an Energy Rating Index, commonly cited as ANSI/RESNET/ICC 301;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Standard 380 of the American National Standard for Testing Airtightness of Building, Dwelling Unit, and Sleeping Unit Enclosures, Airtightness of Heating and Cooling Air Distribution Systems, and Airflow of Mechanical Ventilation Systems, commonly cited as ANSI/RESNET/ICC 380;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w:t>
      </w:r>
      <w:r>
        <w:t xml:space="preserve"> [</w:t>
      </w:r>
      <w:r>
        <w:rPr>
          <w:strike/>
        </w:rPr>
        <w:t xml:space="preserve">The</w:t>
      </w:r>
      <w:r>
        <w:t xml:space="preserve">] Energy Rating Index Compliance Alternative or subsequent alternative compliance path as described by Subsection (j) [</w:t>
      </w:r>
      <w:r>
        <w:rPr>
          <w:strike/>
        </w:rPr>
        <w:t xml:space="preserve">shall be considered in compliance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