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87R19066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(cc)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more than 57,000 and less than 65,000 and that is bordered by the Neches and Trinity Rivers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(aa)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352.002(cc)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352.1037,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352.1037.</w:t>
      </w:r>
      <w:r xml:space="preserve">
        <w:t> </w:t>
      </w:r>
      <w:r xml:space="preserve">
        <w:t> </w:t>
      </w:r>
      <w:r>
        <w:t xml:space="preserve">USE OF REVENUE:</w:t>
      </w:r>
      <w:r xml:space="preserve">
        <w:t> </w:t>
      </w:r>
      <w:r xml:space="preserve">
        <w:t> </w:t>
      </w:r>
      <w:r>
        <w:t xml:space="preserve">CERTAIN COUNTIES BORDERING NECHES AND TRINITY RIVERS. </w:t>
      </w:r>
      <w:r>
        <w:t xml:space="preserve"> </w:t>
      </w:r>
      <w:r>
        <w:rPr>
          <w:u w:val="single"/>
        </w:rPr>
        <w:t xml:space="preserve">(a)</w:t>
      </w:r>
      <w:r>
        <w:t xml:space="preserve">  The revenue from a tax imposed under this chapter by a county authorized to impose the tax under Section 352.002(o) may be used only to operate and maintain a fairground in the county that has a substantial impact on tourism and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revenue from a tax imposed under this chapter by a county authorized to impose the tax under Section 352.002(cc) may be used to repair and renovate a civic center owned by the county in addition to the other purposes authorized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