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87R10405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3221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accrual of a cause of action for purposes of certain laws governing certain construction liability claims.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2272, Government Code, as added by Chapter 1287 (H.B. 1999), Acts of the 86th Legislature, Regular Session, 2019, is amended by adding Section 2272.010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2272.010.</w:t>
      </w:r>
      <w:r>
        <w:rPr>
          <w:u w:val="single"/>
        </w:rPr>
        <w:t xml:space="preserve"> </w:t>
      </w:r>
      <w:r>
        <w:rPr>
          <w:u w:val="single"/>
        </w:rPr>
        <w:t xml:space="preserve"> </w:t>
      </w:r>
      <w:r>
        <w:rPr>
          <w:u w:val="single"/>
        </w:rPr>
        <w:t xml:space="preserve">ACCRUAL OF CAUSE OF ACTION.  For purposes of this chapter only, a cause of action accrues on the date the report required by Section 2272.003 is postmarked by the United States Postal Service.  For all other purposes, including the date of an occurrence under an applicable insurance policy and the date a cause of action accrues for purposes of determining whether the action is barred by a statute of limitations or repose, the date of the accrual of a cause of action is unaffected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