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certain municipalities of municipal hotel occupancy tax revenue for the enhancement and maintenance of public parks.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351.111.</w:t>
      </w:r>
      <w:r>
        <w:rPr>
          <w:u w:val="single"/>
        </w:rPr>
        <w:t xml:space="preserve"> </w:t>
      </w:r>
      <w:r>
        <w:rPr>
          <w:u w:val="single"/>
        </w:rPr>
        <w:t xml:space="preserve"> </w:t>
      </w:r>
      <w:r>
        <w:rPr>
          <w:u w:val="single"/>
        </w:rPr>
        <w:t xml:space="preserve">ALLOCATION OF REVENUE FOR PUBLIC PARKS BY CERTAIN MUNICIPALITIES.  (a)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less than 200,000;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less than 300,000 that contains a component institution of the Texas Tech University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and subject to the requirements of this section, a municipality to which this section applies may use a portion of the revenue derived from the tax imposed under this chapter to promote tourism and the convention and hotel industry by enhancing and maintaining public parks owned by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municipal hotel occupancy tax revenue a municipality may use in a fiscal year to enhance and maintain all public parks may not exceed 10 percent of the amount of revenue the municipality collected from that tax during the preceding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municipal hotel occupancy tax revenue a municipality may use in a fiscal year to enhance and maintain an individual public park may not exceed the amount of area hotel revenue in the preceding fiscal year that was directly attributable to tourists who attended events held at that park or otherwise visited that park.  Before the municipality uses municipal hotel occupancy tax revenue to enhance or maintain a park, the municipality must make a good faith estimate of the annual amount of area hotel revenue directly attributable to tourists who visited that park.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that uses municipal hotel occupancy tax revenue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notwithstanding the limitation under Subsection (c), reserve not more than 10 percent of the revenue from that tax collected in a fiscal year for use under this section during the succeeding three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reduce the percentage of revenue from that tax allocated for a purpose described by Section 351.101(a)(3)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