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87R9724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driver's licenses, commercial driver's licenses, and personal identification certificates.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521.101, Transportation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application for the personal identification certificate must provide space for the applicant to identify the applicant's gender as female, male, or nonbinary/gender diverse.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521.142, Transportation Code, is amended by amending Subsection (c)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application must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gender</w:t>
      </w:r>
      <w:r>
        <w:t xml:space="preserve"> [</w:t>
      </w:r>
      <w:r>
        <w:rPr>
          <w:strike/>
        </w:rPr>
        <w:t xml:space="preserve">sex</w:t>
      </w:r>
      <w:r>
        <w:t xml:space="preserve">]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residence address of the applicant, or if the applicant is a federal judge, a state judge, or the spouse of a federal or state judge using the procedure developed under Section 521.121(c), the street address of the courthouse in which the applicant or the applicant's spouse serves as a federal judge or a state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applicant has been licensed to drive a motor vehicle before;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if previously licensed, when and by what state or country;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whether that license has been suspended or revoked or a license application denied;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date and reason for the suspension, revocation, or denial;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whether the applicant is a citizen of the United States;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county of residence of the applicant.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application must provide space for the applicant to identify the applicant's gender as female, male, or nonbinary/gender diverse.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522.021, Transportation Code, is amended by amending Subsection (a)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application for a commercial driver's license or commercial learner's permit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full name and current residence and mailing address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physical description of the applicant, including </w:t>
      </w:r>
      <w:r>
        <w:rPr>
          <w:u w:val="single"/>
        </w:rPr>
        <w:t xml:space="preserve">gender</w:t>
      </w:r>
      <w:r>
        <w:t xml:space="preserve"> [</w:t>
      </w:r>
      <w:r>
        <w:rPr>
          <w:strike/>
        </w:rPr>
        <w:t xml:space="preserve">sex</w:t>
      </w:r>
      <w:r>
        <w:t xml:space="preserve">], height, and eye color;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applicant's date of birth;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applicant's social security number, unless the application is for a non-domiciled commercial driver's license and the applicant is domiciled in a foreign jurisdiction;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certifications, including those required by 49 C.F.R. Section 383.71(a);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information required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application must provide space for the applicant to identify the applicant's gender as female, male, or nonbinary/gender diverse.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522.030(a),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commercial driver's license or commercial learner's permit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marked: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"Commercial Driver License" or "CDL" for a commercial driver's license;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"Commercial Learner's Permit" or "CLP" for a commercial learner's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be, to the extent practicable, tamper-proof;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include: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name and domicile address of the person to whom it is issued;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person's photograph;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physical description of the person, including </w:t>
      </w:r>
      <w:r>
        <w:rPr>
          <w:u w:val="single"/>
        </w:rPr>
        <w:t xml:space="preserve">gender</w:t>
      </w:r>
      <w:r>
        <w:t xml:space="preserve"> [</w:t>
      </w:r>
      <w:r>
        <w:rPr>
          <w:strike/>
        </w:rPr>
        <w:t xml:space="preserve">sex</w:t>
      </w:r>
      <w:r>
        <w:t xml:space="preserve">], height, and eye color;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person's date of birth;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number or identifier the department considers appropriate;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person's signature;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each class of commercial motor vehicle that the person is authorized to drive, with any endorsements or restrictions;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name of this state;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dates between which the license is valid.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to Chapters 521 and 522, Transportation Code, apply only to a driver's license, commercial driver's license, or personal identification certificate issued or renewed under Chapter 521 or 522, Transportation Code,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