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87R13534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3231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rights and duties of parents and the protection of parental rights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151, Family Code, is amended by adding Section 151.004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w:t>
      </w:r>
      <w:r>
        <w:rPr>
          <w:u w:val="single"/>
        </w:rPr>
        <w:t xml:space="preserve"> </w:t>
      </w:r>
      <w:r>
        <w:rPr>
          <w:u w:val="single"/>
        </w:rPr>
        <w:t xml:space="preserve"> </w:t>
      </w:r>
      <w:r>
        <w:rPr>
          <w:u w:val="single"/>
        </w:rPr>
        <w:t xml:space="preserve">FUNDAMENTAL RIGHTS OF PARENTS.  (a)  A parent is presumed to be a fit parent who acts in the best interest of his or her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fundamental right of a parent to raise his or her child includes but is not limited to the right to direct and make  decisions for the care, custody, control, education, upbringing, moral and religious training, and medical care of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suit between a parent and a non-parent, a parent who has suffered an infringement of his or her fundamental right under subsection (b) by a non-parent may raise subsection (d) as a defense.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not order any relief that conflicts with a parent's fundamental right under Subsection (b) unless the court finds that the requested relief is necessary to prevent a significant impairment of the child’s physical health or emotional well-being.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limit the rights of the state, including the right to investigate or act on a report of child abuse or neglect allegedly committed by a person responsible for a child's care, custody, or welfare, beyond the limitations required by the United States Constitution.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an action for child support.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