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87R9864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 Tax Code,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In addition to the purposes provided by Subsection (a), a municipality with a population of more than 7,500 but less than 12,000 that has at least one hotel within 350 feet of a city park and is wholly located in a county with a population of more than 1.8 million but less than 2.3 million may use revenue from the hotel occupancy tax to promote tourism and the convention and hotel industry by constructing, operating, and maintaining a venue, as defined by Section 334.001(4), Local Government Code, that is a multiuse sports and entertainment facility located or to be located in a city park.</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