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part of a regional mobility authority created under Chapter 370 with at least two counties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 or (2)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