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Long-Term Care Facilities Council and rules related to and the imposition of administrative penalties against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161.089(c),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interpretative guidelines for regulatory staff and providers regarding the imposition of administrative penalties under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