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87R11400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a handgun license holder who carries a handgun on certain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It is a defense to prosecution under Sections 46.03(a) and 46.035(a-2), (a-3), (b), and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carrying a handgun that the person was licensed to carry under Subchapter H, Chapter 411, Government Code, and no other weapon prohibited under the applicable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 was personally given notice that carrying a handgun on the property was prohibited and promptly departed from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