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87R10743 SLB-D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Schofield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3247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alteration of voting standards, practices, or procedures.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1, Election Code, is amended by adding Section 1.022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1.022.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ALTERATION OF VOTING STANDARDS, PRACTICES, OR PROCEDURES.  (a)  An election official of a political subdivision seeking to alter, in response to a pandemic disaster, any voting standard, practice, or procedure in a manner not otherwise expressly authorized by this code, must first obtain approval of the proposed alteration from the secretary of state by submitting a written request for approval to the secretary of state.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secretary of state by written order may approve a proposed alteration requested under Subsection (a).  An election official of a political subdivision may not alter any voting standard, practice, or procedure in a manner not otherwise expressly authorized by this code without a written order of approval from the secretary of state.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secretary of state may not approve a request under Subsection (a) or (b) unless a condition directly caused by the disaster which is the subject of a disaster declaration under Chapter 418, Government Code, or another law authorizing the declaration of a disaster, has made the conduct of the election infeasible in the absence of the alteration.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the absence of the governor's disaster declaration, an election official of a political subdivision may not alter any voting standard, practice, or procedure in a manner not otherwise expressly authorized by this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3247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