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87R14050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Stucky, Guillen,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October 17 as Entrepreneurs with Disabilities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may be cited as the Blake Pyron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ENTREPRENEURS WITH DISABILITIES DAY.  (a)  October 17 is Entrepreneurs with Disabilities Day to recognize entrepreneurship as a career path for all people with disabilities and bring awareness and inclusion to every aspect of the workforce.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Entrepreneurs with Disabilities Day shall be regularly observed by appropriate ceremonies, activities, and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