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87R7640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assessment instruments in public schools and to certain measures to support Internet connectivity for purposes of those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39.023(c-3) and (c-8),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w:t>
      </w:r>
      <w:r>
        <w:t xml:space="preserve"> an assessment instrument developed under Subsection (a) or (c) may </w:t>
      </w:r>
      <w:r>
        <w:rPr>
          <w:u w:val="single"/>
        </w:rPr>
        <w:t xml:space="preserve">be</w:t>
      </w:r>
      <w:r>
        <w:t xml:space="preserve"> [</w:t>
      </w:r>
      <w:r>
        <w:rPr>
          <w:strike/>
        </w:rPr>
        <w:t xml:space="preserve">not present more than 75 percent of the questions</w:t>
      </w:r>
      <w:r>
        <w:t xml:space="preserve">] in a multiple choice format.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