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87R12123 CJC-F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w:t>
      </w:r>
      <w:r xml:space="preserve">
        <w:tab wTab="150" tlc="none" cTlc="0"/>
      </w:r>
      <w:r>
        <w:t xml:space="preserve">H.B.</w:t>
      </w:r>
      <w:r xml:space="preserve">
        <w:t> </w:t>
      </w:r>
      <w:r>
        <w:t xml:space="preserve">No.</w:t>
      </w:r>
      <w:r xml:space="preserve">
        <w:t> </w:t>
      </w:r>
      <w:r>
        <w:t xml:space="preserve">3267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restriction on the use of money in the tax increment fund for a tax increment financing reinvestment zone created by certain home-rule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311, Tax Code, is amended by adding Section 311.0088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311.0088.</w:t>
      </w:r>
      <w:r>
        <w:rPr>
          <w:u w:val="single"/>
        </w:rPr>
        <w:t xml:space="preserve"> </w:t>
      </w:r>
      <w:r>
        <w:rPr>
          <w:u w:val="single"/>
        </w:rPr>
        <w:t xml:space="preserve"> </w:t>
      </w:r>
      <w:r>
        <w:rPr>
          <w:u w:val="single"/>
        </w:rPr>
        <w:t xml:space="preserve">RESTRICTION ON USE OF TAX INCREMENT IN CERTAIN REINVESTMENT ZONES.  (a)  This section applies only to a development agreement, project plan, or reinvestment zone financing plan for a reinvestment zone designated by a home-rule municipality that includes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before 2003, was annexed by the municipality for limited purposes;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subject of a petition for annexation signed by a majority of the owners of the property and filed with the municipality under former Section 43.028 or 43.052(h)(2), Local Government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ordinance adopted after September 1, 2005, was annexed by the municipality for full purposes.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this chapter, a development agreement, project plan, or reinvestment zone financing plan for a reinvestment zone may not include a provision requiring money in the tax increment fund established for the reinvestment zone to be paid to the municipality that designated the zone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 the costs of services that will be provided in the zone by the municipality;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reimburse the municipality for the costs of services that were previously provided in the zone by the municipality.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development agreement, project plan, or reinvestment zone financing plan contains a provision that conflicts with this section, the provision is void and the remaining provisions of the agreement, project plan, or reinvestment zone financing plan are enforceable.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municipality that received a disbursement from a tax increment fund under a provision of a development agreement, project plan, or reinvestment zone financing plan that violates this section shall reimburse the fund in the amount of the disbursement received by the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to a development agreement, project plan, or reinvestment zone financing plan may file an action in the district court of the county in which the development agreement, project plan, or reinvestment zone financing plan is performable to have a provision of the agreement or plan that violates this section declared void and to enforce the remaining provisions of the agreement or plan by mandamus or injunctive relief.  A party who prevails in an action under this subsection shall be awarded reasonable attorney's fees and court costs.  Sovereign immunity to suit and liability is waived and abolished to the extent of liability created by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311.0088, Tax Code, as added by this Act, applies to a development agreement, project plan, or reinvestment zone financing plan to which that section applies regardless of the date on which the agreement or plan was approved or adopted by the parties to the agreement or plan.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