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87R10424 SGM-F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Noble, Swanson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 that a ballot to be voted by mail be canceled and returned before voting in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84.031, Election Code, is amended by amending Subsection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whose application is canceled </w:t>
      </w:r>
      <w:r>
        <w:rPr>
          <w:u w:val="single"/>
        </w:rPr>
        <w:t xml:space="preserve">by returning the person's ballot in accordance with Section 84.032</w:t>
      </w:r>
      <w:r>
        <w:t xml:space="preserve">, if otherwise eligible, may vote in the same manner as if the application had not been submitted.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whose application is canceled in any other manner may cast a provisional ballot under Section 63.011.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84.032, Election Code, is amended by adding Subsections (g), (h), and (i)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early voting clerk shall deliver each request for cancellation to the early voting ballot board to ensure a canceled ballot is not counted.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early voting clerk and presiding election judge shall keep a log of each ballot returned and shall provide a copy of the log to the early voting ballot board to ensure that the canceled ballot is not counted in the election. Returned ballots must be kept in a secure container with a chain of custody maintained by the early voting clerk.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log under Subsection (h) shall include for each entry: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voter's name;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identification number unique to the voter;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voter's signature;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and time the application was returned.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84.033, Election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election officer shall electronically submit a record to the secretary of state of each application canceled in a primary, a runoff primary, a general election, or any special election ordered by the governor on the day the application is canceled.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