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87R11312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3272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contribution and expenditure statements filed by the inaugural committee with the Texas Ethics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401, Government Code, is amended by adding Section 401.0075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401.0075.</w:t>
      </w:r>
      <w:r>
        <w:rPr>
          <w:u w:val="single"/>
        </w:rPr>
        <w:t xml:space="preserve"> </w:t>
      </w:r>
      <w:r>
        <w:rPr>
          <w:u w:val="single"/>
        </w:rPr>
        <w:t xml:space="preserve"> </w:t>
      </w:r>
      <w:r>
        <w:rPr>
          <w:u w:val="single"/>
        </w:rPr>
        <w:t xml:space="preserve">REQUIRED CONTRIBUTION AND EXPENDITURE STATEMENTS.  (a) </w:t>
      </w:r>
      <w:r>
        <w:rPr>
          <w:u w:val="single"/>
        </w:rPr>
        <w:t xml:space="preserve"> </w:t>
      </w:r>
      <w:r>
        <w:rPr>
          <w:u w:val="single"/>
        </w:rPr>
        <w:t xml:space="preserve">The committee shall file contribution and expenditure statements with the Texas Ethics Commission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fifth day after the date that members of the committee are appointed;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day before the first day of the regular session of the legislature that occurs in the year of the inauguration;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day that the committee files the final report required by Section 401.008.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statement required by Subsection (a) must list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unreported contribution of money, services, or other things of value to the committee, the name and address of the contributor, and the date and amount of the contribution;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unreported loan made to the committee, including a loan listed in a previous filing that has not been paid or that was paid after the previous filing, the complete name and address of the lender and each person other than the committee who is responsible on the note, the date and amount of the note, the intended source of funds to repay the note, and any payments already made on the note and the source of the payments;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unreported expenditure of the committee, the complete name and address of each person to whom a payment of more than $10 was made, and the purpose of each expenditure.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statement filed under this section is public information and shall be preserved until the second anniversary of the date the statement was filed. </w:t>
      </w:r>
      <w:r>
        <w:rPr>
          <w:u w:val="single"/>
        </w:rPr>
        <w:t xml:space="preserve"> </w:t>
      </w:r>
      <w:r>
        <w:rPr>
          <w:u w:val="single"/>
        </w:rPr>
        <w:t xml:space="preserve">Unless a court orders further preservation, a statement may be destroyed after the two-year period.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