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87R10765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3274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application for ballot to be voted by mail submitted by telephonic facsimile machine or electronic transmission.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84.007(b-1), Election Code, is amended to read as follows:</w:t>
      </w:r>
    </w:p>
    <w:p w:rsidR="003F3435" w:rsidRDefault="0032493E">
      <w:pPr>
        <w:spacing w:line="480" w:lineRule="auto"/>
        <w:ind w:firstLine="720"/>
        <w:jc w:val="both"/>
      </w:pPr>
      <w:r>
        <w:t xml:space="preserve">(b-1)</w:t>
      </w:r>
      <w:r xml:space="preserve">
        <w:t> </w:t>
      </w:r>
      <w:r xml:space="preserve">
        <w:t> </w:t>
      </w:r>
      <w:r>
        <w:t xml:space="preserve">For an application for ballot by mail submitted by telephonic facsimile machine or electronic transmission to be effective, the application also must be submitted by mail and be received by the early voting clerk not later than the </w:t>
      </w:r>
      <w:r>
        <w:rPr>
          <w:u w:val="single"/>
        </w:rPr>
        <w:t xml:space="preserve">seventh</w:t>
      </w:r>
      <w:r>
        <w:t xml:space="preserve"> [</w:t>
      </w:r>
      <w:r>
        <w:rPr>
          <w:strike/>
        </w:rPr>
        <w:t xml:space="preserve">fourth</w:t>
      </w:r>
      <w:r>
        <w:t xml:space="preserve">] business day </w:t>
      </w:r>
      <w:r>
        <w:rPr>
          <w:u w:val="single"/>
        </w:rPr>
        <w:t xml:space="preserve">before the date of the election for which the ballot is requested</w:t>
      </w:r>
      <w:r>
        <w:t xml:space="preserve"> </w:t>
      </w:r>
      <w:r>
        <w:t xml:space="preserve">[</w:t>
      </w:r>
      <w:r>
        <w:rPr>
          <w:strike/>
        </w:rPr>
        <w:t xml:space="preserve">after the transmission by telephonic facsimile machine or electronic transmission is received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ballot to be voted by mail submitted on or after the effective date of this Act.  An application for a ballot to be voted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