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 Gates</w:t>
      </w:r>
      <w:r xml:space="preserve">
        <w:tab wTab="150" tlc="none" cTlc="0"/>
      </w:r>
      <w:r>
        <w:t xml:space="preserve">H.B.</w:t>
      </w:r>
      <w:r xml:space="preserve">
        <w:t> </w:t>
      </w:r>
      <w:r>
        <w:t xml:space="preserve">No.</w:t>
      </w:r>
      <w:r xml:space="preserve">
        <w:t> </w:t>
      </w:r>
      <w:r>
        <w:t xml:space="preserve">3286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overnight parking of a commercial motor vehicle near certain apartment complexes.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545, Transportation Code, is amended by adding Section 545.3075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545.3075.</w:t>
      </w:r>
      <w:r>
        <w:rPr>
          <w:u w:val="single"/>
        </w:rPr>
        <w:t xml:space="preserve"> </w:t>
      </w:r>
      <w:r>
        <w:rPr>
          <w:u w:val="single"/>
        </w:rPr>
        <w:t xml:space="preserve"> </w:t>
      </w:r>
      <w:r>
        <w:rPr>
          <w:u w:val="single"/>
        </w:rPr>
        <w:t xml:space="preserve">OVERNIGHT PARKING OF COMMERCIAL MOTOR VEHICLE NEAR CERTAIN APARTMENT COMPLEXES.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"Apartment complex" means two or more dwellings in one or more buildings that are owned by the same owner, located on the same lot or tract, and managed by the same owner, agent, or management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"Commercial motor vehicle" has the meaning assigned by Section 545.307.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county or municipality with a population of more than 220,000.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or manager of an apartment complex may make a request to a county or municipality in which the apartment complex is located for the posting of official signs prohibiting the parking of a commercial motor vehicle in a public right-of-way adjacent to the complex after 10 p.m. and before 6 a.m.  A request under this subsection must be signed and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or municipality receiving a request under Subsection (c) may post one or more signs as requested or as the county or municipality determines to be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sign posted under Subsection (d)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 in the public right-of-way: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10 feet from the property line of the apartment complex;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facing the roadway;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in letters at least two inches in height, that parking of a commercial motor vehicle is prohibited from 10 p.m. to 6 a.m. in the public right-of-way or portion of the public right-of-way;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arrows clearly indicating the area of the public right-of-way subject to the parking restriction.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 vehicle owned by a commercial establishment that is parked in the public right-of-way adjacent to the property where the establishment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public rights-of-way that are part of the state highway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