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87R8076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accountability.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 Education Code, is amended by amending Subsection (c) and adding Subsection (c-4)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w:t>
      </w:r>
      <w:r>
        <w:rPr>
          <w:u w:val="single"/>
        </w:rPr>
        <w:t xml:space="preserve">four</w:t>
      </w:r>
      <w:r>
        <w:t xml:space="preserve"> [</w:t>
      </w:r>
      <w:r>
        <w:rPr>
          <w:strike/>
        </w:rPr>
        <w:t xml:space="preserve">three</w:t>
      </w:r>
      <w:r>
        <w:t xml:space="preserv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school portfolio domain for evaluating the performance of districts and campuses generally, indicators of school portfolio,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who successfully complete courses in fine arts, physical education, or a language other than English, or other courses included in the enrichment curriculum under Section 28.002(a)(2);</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who participate in extracurricular activities, including University Interscholastic League activities such as academic, fine arts, and athletic events and foreign language, chess, and robotics clubs;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successfully complete the distinguished level of achievement under Section 28.025(b-7);</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who successfully complete at least one endorsement under Section 28.025(c-1);</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students who successfully complete a coherent sequence of fine arts courses;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students who successfully complete a character education program provided under Section 29.906;</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educationally disadvantaged students who successfully complete a postsecondary readiness course;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results from the school and student safety survey of districts and campuses administered under Section 39.0531;</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efforts by districts and campuses relating to increasing teacher retention, including providing mentoring programs and professional development opportunities;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health and wellness as determined by the commissioner in consultation with the State Board of Education and any appropriate advisory committees;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for campuses that serve students enrolled in prekindergarten, an indicator that accounts for student participation in full-day prekindergarten programs;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students in grades five, six, seven, and eight who earn credit for advanced courses;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students enrolled in grade nine for the first time who earn the credits required during that school year for promotion to the next grade level;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students who are absent, as defined by Subsection (c-4), fewer than 15 days during the current school year</w:t>
      </w:r>
      <w:r>
        <w:t xml:space="preserve">.</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In Subsection (c)(4)(N), "absent" means the student is not physically on school grounds and is not participating in instruction or instruction-related activities at an approved off-campus location for the school day, without regard to whether the absence is excused or unexcused.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39, Education Code, is amended by adding Section 39.0531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39.0531.</w:t>
      </w:r>
      <w:r>
        <w:rPr>
          <w:u w:val="single"/>
        </w:rPr>
        <w:t xml:space="preserve"> </w:t>
      </w:r>
      <w:r>
        <w:rPr>
          <w:u w:val="single"/>
        </w:rPr>
        <w:t xml:space="preserve"> </w:t>
      </w:r>
      <w:r>
        <w:rPr>
          <w:u w:val="single"/>
        </w:rPr>
        <w:t xml:space="preserve">SCHOOL AND STUDENT SAFETY SURVEY.  (a)  The commissioner may incorporate a school and student safety survey as an indicator for the portfolio domain under Section 39.053(c)(4).  A school and student safety survey shall be administered to administrators and teachers employed by school districts, students enrolled in school districts, and parents of those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to implement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format of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questions that the survey must include;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period during a school year in which the survey must be conducted;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requirements for administering and reporting the results of the survey;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 the manner in which the survey may be administered, including the local administration of the survey.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including Section 21.355, school and student safety survey information must be reported to the agency in accordance with rules adopted by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contract with a third party to provide any service necessary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39.054(a-1),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assigning an overall performance rating for a district or campus under Subsection (a), the commissioner shall:</w:t>
      </w:r>
    </w:p>
    <w:p w:rsidR="003F3435" w:rsidRDefault="0032493E">
      <w:pPr>
        <w:spacing w:line="480" w:lineRule="auto"/>
        <w:ind w:firstLine="1440"/>
        <w:jc w:val="both"/>
      </w:pPr>
      <w:r>
        <w:t xml:space="preserve">(1)</w:t>
      </w:r>
      <w:r xml:space="preserve">
        <w:t> </w:t>
      </w:r>
      <w:r xml:space="preserve">
        <w:t> </w:t>
      </w:r>
      <w:r>
        <w:t xml:space="preserve">consider either the district's or campus's performance rating under the student achievement domain under Section 39.053(c)(1) or the school progress domain under Section 39.053(c)(2), whichever performance rating is higher, unless the district or campus received a performance rating of F in either domain, in which case the district or campus may not be assigned a performance rating higher than a B for the composite for the two domains;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attribute not less than 30 percent of the performance rating to the closing the gaps domain under Section 39.053(c)(3)</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attribute not less than 20 percent of the performance rating to the school portfolio domain under Section 39.053(c)(4)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