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87R9192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3291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penalty for reckless driving and to the limitation on the authority to arrest a person for certain traffic offenses punishable by fine only.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w:t>
      </w:r>
    </w:p>
    <w:p w:rsidR="003F3435" w:rsidRDefault="0032493E">
      <w:pPr>
        <w:spacing w:line="480" w:lineRule="auto"/>
        <w:ind w:firstLine="2160"/>
        <w:jc w:val="both"/>
      </w:pPr>
      <w:r>
        <w:t xml:space="preserve">(A)</w:t>
      </w:r>
      <w:r xml:space="preserve">
        <w:t> </w:t>
      </w:r>
      <w:r xml:space="preserve">
        <w:t> </w:t>
      </w:r>
      <w:r>
        <w:t xml:space="preserve">speeding;</w:t>
      </w:r>
    </w:p>
    <w:p w:rsidR="003F3435" w:rsidRDefault="0032493E">
      <w:pPr>
        <w:spacing w:line="480" w:lineRule="auto"/>
        <w:ind w:firstLine="2160"/>
        <w:jc w:val="both"/>
      </w:pPr>
      <w:r>
        <w:t xml:space="preserve">(B)</w:t>
      </w:r>
      <w:r xml:space="preserve">
        <w:t> </w:t>
      </w:r>
      <w:r xml:space="preserve">
        <w:t> </w:t>
      </w:r>
      <w:r>
        <w:t xml:space="preserve">the use of a wireless communication device under Section 545.4251;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violation of the open container law, Section 49.031, Penal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violation of signaling requirements under Section 545.104, 545.105, 545.106, or 545.107;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reckless driving under Section 545.401, if the offense is punishable by a fine only;</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545.401,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 offense under this section is a misdemeanor punishable by a fine not to exceed $200.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w:t>
      </w:r>
      <w:r>
        <w:t xml:space="preserve"> [</w:t>
      </w:r>
      <w:r>
        <w:rPr>
          <w:strike/>
        </w:rPr>
        <w:t xml:space="preserve">An</w:t>
      </w:r>
      <w:r>
        <w:t xml:space="preserve">] offense under this section </w:t>
      </w:r>
      <w:r>
        <w:rPr>
          <w:u w:val="single"/>
        </w:rPr>
        <w:t xml:space="preserve">resulted in bodily injury or property damage, the offense</w:t>
      </w:r>
      <w:r>
        <w:t xml:space="preserve"> is a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$200;</w:t>
      </w:r>
    </w:p>
    <w:p w:rsidR="003F3435" w:rsidRDefault="0032493E">
      <w:pPr>
        <w:spacing w:line="480" w:lineRule="auto"/>
        <w:ind w:firstLine="1440"/>
        <w:jc w:val="both"/>
      </w:pPr>
      <w:r>
        <w:t xml:space="preserve">(2)</w:t>
      </w:r>
      <w:r xml:space="preserve">
        <w:t> </w:t>
      </w:r>
      <w:r xml:space="preserve">
        <w:t> </w:t>
      </w:r>
      <w:r>
        <w:t xml:space="preserve">confinement in county jail for not more than 30 days;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