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87R3913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3293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certificate of merit required for certain civil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150.002, Civil Practice and Remedies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affidavit shall set forth specifically facts sufficient to establish the affiant's familiarity or experience with the relevant practice area such that the affiant's qualifications to render an opinion on the matters set forth in the affidavit for purposes of Subsection (b) are established.  The affiant must attach to the affidavit as an exhibit the affiant's curriculum vitae or a similar document sufficient to establish that the affiant meets the requirements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