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87R7139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certain actions by district and county attorneys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17.48(c) and (d), Business &amp; Commerce Code, are amended to read as follows:</w:t>
      </w:r>
    </w:p>
    <w:p w:rsidR="003F3435" w:rsidRDefault="0032493E">
      <w:pPr>
        <w:spacing w:line="480" w:lineRule="auto"/>
        <w:ind w:firstLine="720"/>
        <w:jc w:val="both"/>
      </w:pPr>
      <w:r>
        <w:t xml:space="preserve">(c)</w:t>
      </w:r>
      <w:r xml:space="preserve">
        <w:t> </w:t>
      </w:r>
      <w:r xml:space="preserve">
        <w:t> </w:t>
      </w:r>
      <w:r>
        <w:t xml:space="preserve">In an action prosecuted by a district or county attorney under this subchapter for a violation of  Section 17.46(b)(28) </w:t>
      </w:r>
      <w:r>
        <w:rPr>
          <w:u w:val="single"/>
        </w:rPr>
        <w:t xml:space="preserve">or (33)</w:t>
      </w:r>
      <w:r>
        <w:t xml:space="preserve">, three-fourths of any civil penalty awarded by a court must be paid to the county where the court is located.</w:t>
      </w:r>
    </w:p>
    <w:p w:rsidR="003F3435" w:rsidRDefault="0032493E">
      <w:pPr>
        <w:spacing w:line="480" w:lineRule="auto"/>
        <w:ind w:firstLine="720"/>
        <w:jc w:val="both"/>
      </w:pPr>
      <w:r>
        <w:t xml:space="preserve">(d)</w:t>
      </w:r>
      <w:r xml:space="preserve">
        <w:t> </w:t>
      </w:r>
      <w:r xml:space="preserve">
        <w:t> </w:t>
      </w:r>
      <w:r>
        <w:t xml:space="preserve">A district or county attorney is not required to obtain the permission of the consumer protection division to prosecute an action under this subchapter for a violation of Section 17.46(b)(28) </w:t>
      </w:r>
      <w:r>
        <w:rPr>
          <w:u w:val="single"/>
        </w:rPr>
        <w:t xml:space="preserve">or (33)</w:t>
      </w:r>
      <w:r>
        <w:t xml:space="preserve">, if the district or county attorney provides prior written notice to the division as required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17.48(c) and (d), Business &amp; Commerce Code, as amended by this Act, apply only to an action that accrues on or after the effective date of this Act. </w:t>
      </w:r>
      <w:r>
        <w:t xml:space="preserve"> </w:t>
      </w:r>
      <w:r>
        <w:t xml:space="preserve">An action that accrued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