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87R9868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certain information about physical and mental health as part of the enrichment curriculum for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district that offers kindergarten through grade 12 shall offer, as a required curriculum: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foundation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English language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mathematics;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science;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social studies, consisting of Texas, United States, and world history, government, economics, with emphasis on the free enterprise system and its benefits, and geography;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enrichment curriculum that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the extent possible, languages other than English;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health, with emphasis on: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physical health, including the importance of proper nutrition and exercise;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mental health, including instruction about mental health conditions, substance abuse, skills to manage emotions, establishing and maintaining positive relationships, and responsible decision-making;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rPr>
          <w:u w:val="single"/>
        </w:rPr>
        <w:t xml:space="preserve">the relationship between physical and mental health;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t xml:space="preserve"> suicide prevention, including recognizing suicide-related risk factors and warning signs;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physical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fine arts;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career and technology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technology applications;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religious literature, including the Hebrew Scriptures (Old Testament) and New Testament, and its impact on history and literature;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personal financial literacy.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