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87R9951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school district staff development requirements and including certain information regarding substance abuse and suicidal tendencies in the essential knowledge and skills of the public school health curriculum.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21.451(d-1),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(d-1)</w:t>
      </w:r>
      <w:r xml:space="preserve">
        <w:t> </w:t>
      </w:r>
      <w:r xml:space="preserve">
        <w:t> </w:t>
      </w:r>
      <w:r>
        <w:t xml:space="preserve">The training required by Subsection (d)(3):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 provided: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on an annual basis, as part of a new employee orientation, to all new school district and open-enrollment charter school educators;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to existing school district and open-enrollment charter school educators on a </w:t>
      </w:r>
      <w:r>
        <w:rPr>
          <w:u w:val="single"/>
        </w:rPr>
        <w:t xml:space="preserve">biennial basis</w:t>
      </w:r>
      <w:r>
        <w:t xml:space="preserve"> [</w:t>
      </w:r>
      <w:r>
        <w:rPr>
          <w:strike/>
        </w:rPr>
        <w:t xml:space="preserve">schedule adopted by the agency by rule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use a best practice-based program recommended by the Health and Human Services Commission in coordination with the agency under Section 38.351;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include two or more listed topics together.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28.002, Education Code, is amended by amending Subsection (r) and adding Subsection (r-1)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In adopting the essential knowledge and skills for the health curriculum under Subsection (a)(2)(B), the State Board of Education shall adopt essential knowledge and skills that address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science, risk factors, causes, dangers, consequences, signs, symptoms, and treatment of substance abuse, including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use of illegal drugs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abuse of prescription drugs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abuse of alcohol such as by binge drinking or other excessive drinking resulting in alcohol poisoning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inhaling solvents</w:t>
      </w:r>
      <w:r>
        <w:rPr>
          <w:u w:val="single"/>
        </w:rPr>
        <w:t xml:space="preserve">;</w:t>
      </w:r>
      <w:r>
        <w:t xml:space="preserve"> [</w:t>
      </w:r>
      <w:r>
        <w:rPr>
          <w:strike/>
        </w:rPr>
        <w:t xml:space="preserve">,</w:t>
      </w:r>
      <w:r>
        <w:t xml:space="preserve">]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other forms of substance abuse</w:t>
      </w:r>
      <w:r>
        <w:rPr>
          <w:u w:val="single"/>
        </w:rPr>
        <w:t xml:space="preserve">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relationship between drug and alcohol use and suicide;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recognizing signs of suicidal tendencies and other warning signs of suicide;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help-seeking behaviors and available community suicide prevention services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(r-1)</w:t>
      </w:r>
      <w:r xml:space="preserve">
        <w:t> </w:t>
      </w:r>
      <w:r xml:space="preserve">
        <w:t> </w:t>
      </w:r>
      <w:r>
        <w:t xml:space="preserve">The agency shall compile a list of evidence-based substance abuse awareness programs from which a school district shall choose a program to use in the district's middle school, junior high school, and high school health curriculum.  In this subsection, "evidence-based substance abuse awareness program" means a program, practice, or strategy that has been proven to effectively prevent substance abuse among students, as determined by evaluations that are evidence-based.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