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3305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disclosure of the place of origin for products sold online;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DISCLOSURE REQUIRED FOR E-COMMERCE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APPLICABILITY.  This chapter applies only to a business entity that is a taxable entity subject to the franchise tax under Chapter 171,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"Comptroller" means the comptroller of public accounts of the State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"E-commerce" means the sale, transfer, negotiation, or exchange of goods for value that occurs through the Internet or another electronic method.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"Place of origin" means the state or geographic region in which a good was manufactured or produced and the country in which the state or geographic region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113.003.</w:t>
      </w:r>
      <w:r>
        <w:rPr>
          <w:u w:val="single"/>
        </w:rPr>
        <w:t xml:space="preserve"> </w:t>
      </w:r>
      <w:r>
        <w:rPr>
          <w:u w:val="single"/>
        </w:rPr>
        <w:t xml:space="preserve"> </w:t>
      </w:r>
      <w:r>
        <w:rPr>
          <w:u w:val="single"/>
        </w:rPr>
        <w:t xml:space="preserve">DISCLOSURE REQUIRED.  (a)  A business entity that engages in e-commerce shall disclose in writing the place of origin for each good offered for purchase to a person in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required under Subsection (a) shall appear: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each web page on which the good is made available for purchase;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size and typeface that is reasonably legible and conspicuous.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web page does not make a good available for purchase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web page only contains advertisements in which the good appears or other images of the good;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cannot: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purchase the good directly from the web page;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indicate through the web page an intention to purchase the good.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113.004.</w:t>
      </w:r>
      <w:r>
        <w:rPr>
          <w:u w:val="single"/>
        </w:rPr>
        <w:t xml:space="preserve"> </w:t>
      </w:r>
      <w:r>
        <w:rPr>
          <w:u w:val="single"/>
        </w:rPr>
        <w:t xml:space="preserve"> </w:t>
      </w:r>
      <w:r>
        <w:rPr>
          <w:u w:val="single"/>
        </w:rPr>
        <w:t xml:space="preserve">VIOLATION.  A business entity commits a violation if the business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provide the disclosure required by Section 113.003;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fraudulent, misleading, or deceptive information in the disclosure required by Section 113.003.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w:t>
      </w:r>
      <w:r>
        <w:rPr>
          <w:u w:val="single"/>
        </w:rPr>
        <w:t xml:space="preserve"> </w:t>
      </w:r>
      <w:r>
        <w:rPr>
          <w:u w:val="single"/>
        </w:rPr>
        <w:t xml:space="preserve"> </w:t>
      </w:r>
      <w:r>
        <w:rPr>
          <w:u w:val="single"/>
        </w:rPr>
        <w:t xml:space="preserve">COMPLAINTS; INVESTIGATIONS.  (a)  The comptroller by rule shall establish a method by which a person may file a complaint for an alleged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conduct an investigation of an alleged violation of this chapter, unless the comptroller determines the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allege a violation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brought against a business entity that is not subject to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contain sufficient information to conduct an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113.006.</w:t>
      </w:r>
      <w:r>
        <w:rPr>
          <w:u w:val="single"/>
        </w:rPr>
        <w:t xml:space="preserve"> </w:t>
      </w:r>
      <w:r>
        <w:rPr>
          <w:u w:val="single"/>
        </w:rPr>
        <w:t xml:space="preserve"> </w:t>
      </w:r>
      <w:r>
        <w:rPr>
          <w:u w:val="single"/>
        </w:rPr>
        <w:t xml:space="preserve">NOTICE; OPPORTUNITY TO CURE.  (a)  Upon the conclusion of an investigation under Section 113.005(b), the comptroller shall provide written notice to a business entity of any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provide a business entity 30 days to cure any violation of which the business entity is notified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113.007.</w:t>
      </w:r>
      <w:r>
        <w:rPr>
          <w:u w:val="single"/>
        </w:rPr>
        <w:t xml:space="preserve"> </w:t>
      </w:r>
      <w:r>
        <w:rPr>
          <w:u w:val="single"/>
        </w:rPr>
        <w:t xml:space="preserve"> </w:t>
      </w:r>
      <w:r>
        <w:rPr>
          <w:u w:val="single"/>
        </w:rPr>
        <w:t xml:space="preserve">CIVIL PENALTY.  (a)  If a business entity fails to cure a violation before the 31st day after receiving a notice under Section 113.006(a), the comptroller may assess a civil penalty against the business entity in an amount not to exceed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for each day in which a violation occurs;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assess a separate penalty under Subsection (a) for each violation for which notice was given.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penalty assessed under this section may be recovered by the comptroller in the same manner as is provided by Subtitle B, Title 2, Tax Code, for the recovery of delinquent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113.008.</w:t>
      </w:r>
      <w:r>
        <w:rPr>
          <w:u w:val="single"/>
        </w:rPr>
        <w:t xml:space="preserve"> </w:t>
      </w:r>
      <w:r>
        <w:rPr>
          <w:u w:val="single"/>
        </w:rPr>
        <w:t xml:space="preserve"> </w:t>
      </w:r>
      <w:r>
        <w:rPr>
          <w:u w:val="single"/>
        </w:rPr>
        <w:t xml:space="preserve">RULES.  The comptroller may adopt rules for the administration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