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3306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information regarding the occurrence of communicable diseases in residential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81.046(b), Health and Safety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181.060, reports</w:t>
      </w:r>
      <w:r>
        <w:t xml:space="preserve"> [</w:t>
      </w:r>
      <w:r>
        <w:rPr>
          <w:strike/>
        </w:rPr>
        <w:t xml:space="preserve">Reports</w:t>
      </w:r>
      <w:r>
        <w:t xml:space="preserve">], records, and information relating to cases or suspected cases of diseases or health conditions are not public information under Chapter 552, Government Code, and may not be released or made public on subpoena or otherwise except as provided by Subsections (c), (c-1), (d), and (f) </w:t>
      </w:r>
      <w:r>
        <w:rPr>
          <w:u w:val="single"/>
        </w:rPr>
        <w:t xml:space="preserve">or </w:t>
      </w:r>
      <w:r>
        <w:rPr>
          <w:u w:val="single"/>
        </w:rPr>
        <w:t xml:space="preserve">Section 181.060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181, Health and Safety Code, is amended by adding Section 181.060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181.060.</w:t>
      </w:r>
      <w:r>
        <w:rPr>
          <w:u w:val="single"/>
        </w:rPr>
        <w:t xml:space="preserve"> </w:t>
      </w:r>
      <w:r>
        <w:rPr>
          <w:u w:val="single"/>
        </w:rPr>
        <w:t xml:space="preserve"> </w:t>
      </w:r>
      <w:r>
        <w:rPr>
          <w:u w:val="single"/>
        </w:rPr>
        <w:t xml:space="preserve">INFORMATION REGARDING COMMUNICABLE DISEASES IN CERTAIN FACILITIES.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"Communicable disease" has the meaning assigned by Section 81.003.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continuing care facility licensed under Chapter 246;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 means an individual, including a patient, who resides in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protected health information does not include information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or location of a facility in which residents have been diagnosed with a communicable disease;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residents who have been diagnosed with a communicable disease in a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made confidential under other law, the information described by Subsection (b) is not confidential and is subject to 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