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87R2102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option contracts to acquire real property for high-speed rail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112, Transportation Code, is amended by adding Section 112.063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112.063.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PROPERTY OPTION CONTRACTS FOR HIGH-SPEED RAIL VOID ON BANKRUPTCY.  (a)  In this section, "high-speed rail" has the meaning assigned by Section 112.201.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filing of a bankruptcy petition by or against a railroad company, an option contract held by the company to acquire real property for a high-speed rail project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112.063, Transportation Code, as added by this Act, applies only to an option contract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