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Ellzey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acquisition of necessary real property for the construction of a high-speed rail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112.0571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112.0571.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OF HIGH-SPEED RAIL.  (a)  In this section, "high-speed rail" 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may not begin construction of a high-speed rail project unless the department has determined that the entity has acquired all real property necessary for the construction of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