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87R12136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an employee of the legislature to resign on becoming a candidate for a seat in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301, Government Code, is amended by adding Section 301.044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301.044.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RESIGNATION OF EMPLOYMENT ON BECOMING LEGISLATIVE CANDIDATE.  If an employee of either house of the legislature announces the employee's candidacy, or becomes a candidate, for a seat in the house of representatives or the senate, the announcement or candidacy constitutes an automatic resignation from the employee's position.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