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measures to promote compliance with and improve public awareness of the state's move over or slow down law concerning the passing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1001.1101.</w:t>
      </w:r>
      <w:r>
        <w:rPr>
          <w:u w:val="single"/>
        </w:rPr>
        <w:t xml:space="preserve"> </w:t>
      </w:r>
      <w:r>
        <w:rPr>
          <w:u w:val="single"/>
        </w:rPr>
        <w:t xml:space="preserve"> </w:t>
      </w:r>
      <w:r>
        <w:rPr>
          <w:u w:val="single"/>
        </w:rPr>
        <w:t xml:space="preserve">INFORMATION RELATING TO PASSING CERTAIN VEHICLES.  (a)  The commission by rule shall require that information relating to the requirements of Section 545.157, Transportation Code, concerning the passing of certain vehicles be included in the curriculum of each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MOVE OVER OR SLOW DOWN CAMPAIGN.  (a)  The department shall develop and implement a move over or slow down public awareness campaign designed to promote compliance with and improve public awareness of the requirements of Section 545.157 concerning the passing of certain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1001.1101,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or driving safety course held on or after September 1, 2022, shall include in the course's curriculum the information required by the rules adopted under Section 1001.1101,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3319 was passed by the House on May 11, 2021, by the following vote:</w:t>
      </w:r>
      <w:r xml:space="preserve">
        <w:t> </w:t>
      </w:r>
      <w:r xml:space="preserve">
        <w:t> </w:t>
      </w:r>
      <w:r>
        <w:t xml:space="preserve">Yeas 119, Nays 24,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3319 was passed by the Senate on May 21,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