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87R3889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3320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effect of recording a quitclaim deed.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 Property Code, is amended by adding Section 13.006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13.006.</w:t>
      </w:r>
      <w:r>
        <w:rPr>
          <w:u w:val="single"/>
        </w:rPr>
        <w:t xml:space="preserve"> </w:t>
      </w:r>
      <w:r>
        <w:rPr>
          <w:u w:val="single"/>
        </w:rPr>
        <w:t xml:space="preserve"> </w:t>
      </w:r>
      <w:r>
        <w:rPr>
          <w:u w:val="single"/>
        </w:rPr>
        <w:t xml:space="preserve">EFFECT OF RECORDING QUITCLAIM DEED.  After the fourth anniversary of the date a quitclaim deed for real property is recorded in the deed records of the county in which the real property is located, the quitclaim deed: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affect the question of the good faith of a subsequent purchaser or creditor;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notice to a subsequent purchaser or creditor of any unrecorded conveyance of, transfer of, or encumbrance on the real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quitclaim deed recorded on or after the effective date of this Act.  A quitclaim deed recorded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