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87R10072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Bowers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signage displayed by a retail fireworks permit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E, Chapter 2154, Occupations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E. </w:t>
      </w:r>
      <w:r>
        <w:t xml:space="preserve"> </w:t>
      </w:r>
      <w:r>
        <w:t xml:space="preserve">PERMIT REQUIREMENTS </w:t>
      </w:r>
      <w:r>
        <w:rPr>
          <w:u w:val="single"/>
        </w:rPr>
        <w:t xml:space="preserve">AND REGULATIONS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2154, Occupations Code, is amended by adding Section 2154.2021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2154.2021.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SIGNAGE DISPLAYED BY RETAIL FIREWORKS PERMIT HOLDER.  (a) </w:t>
      </w:r>
      <w:r>
        <w:rPr>
          <w:u w:val="single"/>
        </w:rPr>
        <w:t xml:space="preserve"> </w:t>
      </w:r>
      <w:r>
        <w:rPr>
          <w:u w:val="single"/>
        </w:rPr>
        <w:t xml:space="preserve">A retail fireworks permit holder shall prominently display in the holder's retail fireworks site a warning sign that includes language identical to the following: </w:t>
      </w:r>
      <w:r>
        <w:rPr>
          <w:u w:val="single"/>
        </w:rPr>
        <w:t xml:space="preserve"> </w:t>
      </w:r>
      <w:r>
        <w:rPr>
          <w:u w:val="single"/>
        </w:rPr>
        <w:t xml:space="preserve">"The possession or use of fireworks is illegal in many jurisdictions. </w:t>
      </w:r>
      <w:r>
        <w:rPr>
          <w:u w:val="single"/>
        </w:rPr>
        <w:t xml:space="preserve"> </w:t>
      </w:r>
      <w:r>
        <w:rPr>
          <w:u w:val="single"/>
        </w:rPr>
        <w:t xml:space="preserve">You are responsible for knowing and following the law of any jurisdiction to which you transport an item purchased from this location."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written in both English and Spanish;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written in letters at least one inch in height;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displayed at all public entrances and exits and at each point of sale in the holder's retail fireworks 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