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87R22024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3340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3340:</w:t>
      </w: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C.S.H.B.</w:t>
      </w:r>
      <w:r xml:space="preserve">
        <w:t> </w:t>
      </w:r>
      <w:r>
        <w:t xml:space="preserve">No.</w:t>
      </w:r>
      <w:r xml:space="preserve">
        <w:t> </w:t>
      </w:r>
      <w:r>
        <w:t xml:space="preserve">3340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appeal of certain orders regarding dangerous dogs.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822.042, Health and Safety Code, is amended by amending Subsection (e) and adding Subsection (e-1) to read as follows:</w:t>
      </w:r>
    </w:p>
    <w:p w:rsidR="003F3435" w:rsidRDefault="0032493E">
      <w:pPr>
        <w:spacing w:line="480" w:lineRule="auto"/>
        <w:ind w:firstLine="720"/>
        <w:jc w:val="both"/>
      </w:pPr>
      <w:r>
        <w:t xml:space="preserve">(e)</w:t>
      </w:r>
      <w:r xml:space="preserve">
        <w:t> </w:t>
      </w:r>
      <w:r xml:space="preserve">
        <w:t> </w:t>
      </w:r>
      <w:r>
        <w:rPr>
          <w:u w:val="single"/>
        </w:rPr>
        <w:t xml:space="preserve">Subject to Subsection (e-1), the</w:t>
      </w:r>
      <w:r>
        <w:t xml:space="preserve"> [</w:t>
      </w:r>
      <w:r>
        <w:rPr>
          <w:strike/>
        </w:rPr>
        <w:t xml:space="preserve">The</w:t>
      </w:r>
      <w:r>
        <w:t xml:space="preserve">] court shall order the animal control authority to humanely destroy the dog if the owner has not complied with Subsection (a) before the 11th day after the date on which the dog is seized or delivered to the authority[</w:t>
      </w:r>
      <w:r>
        <w:rPr>
          <w:strike/>
        </w:rPr>
        <w:t xml:space="preserve">, except that, notwithstanding any other law or local regulation, the court may not order the destruction of a dog during the pendency of an appeal under Section 822.0424</w:t>
      </w:r>
      <w:r>
        <w:t xml:space="preserve">].  The court shall order the authority to return the dog to the owner if the owner complies with Subsection (a) before the 11th day after the date on which the dog is seized or delivered to the authority.</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any other law or local regulation: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order to destroy a dog is stayed for a period of 10 calendar days from the date the order is issued, during which period the dog's owner may file a notice of appeal;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court, including a justice court, may not order the destruction of a dog during the pendency of an appeal under Section 822.0424.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order issued by a court on or after the effective date of this Act.  An order issued before the effective date of this Act is governed by the law in effect on the date the order was issued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