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87R9680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certain orders regarding dangerous dogs.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822.042, Health and Safety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owner may appeal a justice court's order to humanely destroy a dog to a county court or county court at law in the manner provided by Section 822.0424.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822.0424(a),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party to an appeal under Section </w:t>
      </w:r>
      <w:r>
        <w:rPr>
          <w:u w:val="single"/>
        </w:rPr>
        <w:t xml:space="preserve">822.042(e-1),</w:t>
      </w:r>
      <w:r>
        <w:t xml:space="preserve"> 822.0421(d)</w:t>
      </w:r>
      <w:r>
        <w:rPr>
          <w:u w:val="single"/>
        </w:rPr>
        <w:t xml:space="preserve">,</w:t>
      </w:r>
      <w:r>
        <w:t xml:space="preserve"> or a hearing under Section 822.0423 may appeal the decision to a county court or county court at law in the county in which the justice or municipal court is located and is entitled to a jury trial on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order issued by a justice court on or after the effective date of this Act.  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