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87R10929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3347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on which the election for statewide elected officials and members of the legislature is held.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41.003.</w:t>
      </w:r>
      <w:r>
        <w:rPr>
          <w:u w:val="single"/>
        </w:rPr>
        <w:t xml:space="preserve"> </w:t>
      </w:r>
      <w:r>
        <w:rPr>
          <w:u w:val="single"/>
        </w:rPr>
        <w:t xml:space="preserve"> </w:t>
      </w:r>
      <w:r>
        <w:rPr>
          <w:u w:val="single"/>
        </w:rPr>
        <w:t xml:space="preserve">ELECTION OF EXECUTIVE OFFICERS AND MEMBERS OF LEGISLATURE.  (a) </w:t>
      </w:r>
      <w:r>
        <w:rPr>
          <w:u w:val="single"/>
        </w:rPr>
        <w:t xml:space="preserve"> </w:t>
      </w:r>
      <w:r>
        <w:rPr>
          <w:u w:val="single"/>
        </w:rPr>
        <w:t xml:space="preserve">Notwithstanding any other law, the election for an executive officer listed under Section 1, Article IV, Texas Constitution, other than the secretary of state, and for members of the legislature shall be held on the first Tuesday after the first Monday in November in odd-numbered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rule, or provision that applies to the general election for state and county officers applies to an election held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election held under this section shall be held on November 7, 2023.  A person who occupies an office pending the outcome of that election, either as a constitutional holdover from the prior term or through other law, is entitled to receive the emoluments of office until the successor qualifies for the office after the election.  This subsection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