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3354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6,</w:t>
      </w:r>
      <w:r xml:space="preserve">
        <w:t> </w:t>
      </w:r>
      <w:r>
        <w:t xml:space="preserve">2021, read first time and referred to Committee on Jurisprudence; May</w:t>
      </w:r>
      <w:r xml:space="preserve">
        <w:t> </w:t>
      </w:r>
      <w:r>
        <w:t xml:space="preserve">21,</w:t>
      </w:r>
      <w:r xml:space="preserve">
        <w:t> </w:t>
      </w:r>
      <w:r>
        <w:t xml:space="preserve">2021, reported favorably by the following vote:</w:t>
      </w:r>
      <w:r>
        <w:t xml:space="preserve"> </w:t>
      </w:r>
      <w:r>
        <w:t xml:space="preserve"> </w:t>
      </w:r>
      <w:r>
        <w:t xml:space="preserve">Yeas 5,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location of certain justice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292.001(d),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justice of the peace court may not be housed or conducted in a building located outside the court's precinct except as provided by Section 27.051(f) or 27.0515, Government Code, or unless the justice of the peace court is situated in the county courthouse in a county with a population of at least </w:t>
      </w:r>
      <w:r>
        <w:rPr>
          <w:u w:val="single"/>
        </w:rPr>
        <w:t xml:space="preserve">305,000</w:t>
      </w:r>
      <w:r>
        <w:t xml:space="preserve"> [</w:t>
      </w:r>
      <w:r>
        <w:rPr>
          <w:strike/>
        </w:rPr>
        <w:t xml:space="preserve">275,000</w:t>
      </w:r>
      <w:r>
        <w:t xml:space="preserve">] persons </w:t>
      </w:r>
      <w:r>
        <w:rPr>
          <w:u w:val="single"/>
        </w:rPr>
        <w:t xml:space="preserve">and the county seat of which is located in the Llano Estacado region of this state</w:t>
      </w:r>
      <w:r>
        <w:t xml:space="preserve"> </w:t>
      </w:r>
      <w:r>
        <w:t xml:space="preserve">[</w:t>
      </w:r>
      <w:r>
        <w:rPr>
          <w:strike/>
        </w:rPr>
        <w:t xml:space="preserve">but no more than 285,000 persons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