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87R11755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an auditable voting system be used in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129, Election Code, is amended by adding Section 129.003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129.003.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PAPER AUDIT TRAIL REQUIRED.  (a) In this section, "auditable voting system" means a voting system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a paper record;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produces a paper receipt by which a voter can verify that the voter's ballot will be counted accurately.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January 1, 2023, a voting system that consists of direct recording electronic voting machines may not be used in an election unless the system is an auditable voting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