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87R12154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retaliation against residential tenants by landlords.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92.331(b),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landlord may not, </w:t>
      </w:r>
      <w:r>
        <w:rPr>
          <w:u w:val="single"/>
        </w:rPr>
        <w:t xml:space="preserve">because</w:t>
      </w:r>
      <w:r>
        <w:t xml:space="preserve"> [</w:t>
      </w:r>
      <w:r>
        <w:rPr>
          <w:strike/>
        </w:rPr>
        <w:t xml:space="preserve">within six months after the date</w:t>
      </w:r>
      <w:r>
        <w:t xml:space="preserve">] of the tenant's action under Subsection (a), retaliate against the tenant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filing an eviction proceeding, except for the grounds stated by Section 92.332;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depriving the tenant of the use of the premises, except for reasons authorized by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decreasing services to the tenant;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increasing the tenant's rent or terminating the tenant's lease;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engaging, in bad faith, in a course of conduct that materially interferes with the tenant's rights under the tenant's lease.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94.251,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94.251.</w:t>
      </w:r>
      <w:r xml:space="preserve">
        <w:t> </w:t>
      </w:r>
      <w:r xml:space="preserve">
        <w:t> </w:t>
      </w:r>
      <w:r>
        <w:t xml:space="preserve">RETALIATION BY LANDLORD.  (a) A landlord may not retaliate against a tenant by taking an action described by Subsection (b) because the tenant: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good faith exercises or attempts to exercise against a landlord a right or remedy granted to the tenant by the lease agreement, a municipal ordinance, or a federal or state statute;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gives the landlord a notice to repair or exercise a remedy under this chapter;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complains to a governmental entity responsible for enforcing building or housing codes, a public utility, or a civic or nonprofit agency, and the tenant: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claims a building or housing code violation or utility problem;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believes in good faith that the complaint is valid and that the violation or problem occurred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establishes, attempts to establish, or participates in a tenant organization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landlord may not, </w:t>
      </w:r>
      <w:r>
        <w:rPr>
          <w:u w:val="single"/>
        </w:rPr>
        <w:t xml:space="preserve">because</w:t>
      </w:r>
      <w:r>
        <w:t xml:space="preserve"> [</w:t>
      </w:r>
      <w:r>
        <w:rPr>
          <w:strike/>
        </w:rPr>
        <w:t xml:space="preserve">within six months after the date</w:t>
      </w:r>
      <w:r>
        <w:t xml:space="preserve">] of the tenant's action under Subsection (a), retaliate against the tenant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filing an eviction proceeding, except for the grounds stated by Subchapter 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depriving the tenant of the use of the premises, except for reasons authorized by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decreasing services to the tenant;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increasing the tenant's rent;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terminating the tenant's lease agreement;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engaging, in bad faith, in a course of conduct that materially interferes with the tenant's rights under the tenant's lease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