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87R17013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3368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3368:</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3368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program of all-inclusive care for the elderly.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32.053, Human Resources Code, is amended by amending Subsections (b) and (e) and adding Subsections (b-1) and (e-1)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rules as necessary to implement this section. In adopting rules, the executive commissioner shall:</w:t>
      </w:r>
    </w:p>
    <w:p w:rsidR="003F3435" w:rsidRDefault="0032493E">
      <w:pPr>
        <w:spacing w:line="480" w:lineRule="auto"/>
        <w:ind w:firstLine="1440"/>
        <w:jc w:val="both"/>
      </w:pPr>
      <w:r>
        <w:t xml:space="preserve">(1)</w:t>
      </w:r>
      <w:r xml:space="preserve">
        <w:t> </w:t>
      </w:r>
      <w:r xml:space="preserve">
        <w:t> </w:t>
      </w:r>
      <w:r>
        <w:t xml:space="preserve">use the Bienvivir Senior Health Services of El Paso initiative as a model for the program;</w:t>
      </w:r>
    </w:p>
    <w:p w:rsidR="003F3435" w:rsidRDefault="0032493E">
      <w:pPr>
        <w:spacing w:line="480" w:lineRule="auto"/>
        <w:ind w:firstLine="1440"/>
        <w:jc w:val="both"/>
      </w:pPr>
      <w:r>
        <w:t xml:space="preserve">(2)</w:t>
      </w:r>
      <w:r xml:space="preserve">
        <w:t> </w:t>
      </w:r>
      <w:r xml:space="preserve">
        <w:t> </w:t>
      </w:r>
      <w:r>
        <w:t xml:space="preserve">ensure that a person is not required to hold a certificate of authority as a health maintenance organization under Chapter 843, Insurance Code, to provide services under the PACE program;</w:t>
      </w:r>
    </w:p>
    <w:p w:rsidR="003F3435" w:rsidRDefault="0032493E">
      <w:pPr>
        <w:spacing w:line="480" w:lineRule="auto"/>
        <w:ind w:firstLine="1440"/>
        <w:jc w:val="both"/>
      </w:pPr>
      <w:r>
        <w:t xml:space="preserve">(3)</w:t>
      </w:r>
      <w:r xml:space="preserve">
        <w:t> </w:t>
      </w:r>
      <w:r xml:space="preserve">
        <w:t> </w:t>
      </w:r>
      <w:r>
        <w:t xml:space="preserve">ensure that participation in the PACE program is available as an alternative to enrollment in a Medicaid managed care plan under Chapter 533, Government Code, for eligible recipients, including recipients eligible for assistance under both the medical assistance and Medicare programs;</w:t>
      </w:r>
    </w:p>
    <w:p w:rsidR="003F3435" w:rsidRDefault="0032493E">
      <w:pPr>
        <w:spacing w:line="480" w:lineRule="auto"/>
        <w:ind w:firstLine="1440"/>
        <w:jc w:val="both"/>
      </w:pPr>
      <w:r>
        <w:t xml:space="preserve">(4)</w:t>
      </w:r>
      <w:r xml:space="preserve">
        <w:t> </w:t>
      </w:r>
      <w:r xml:space="preserve">
        <w:t> </w:t>
      </w:r>
      <w:r>
        <w:t xml:space="preserve">ensure that </w:t>
      </w:r>
      <w:r>
        <w:rPr>
          <w:u w:val="single"/>
        </w:rPr>
        <w:t xml:space="preserve">the commission's enrollment broker complies with the requirement under Subsection (b-1) to notify recipients about the PACE program and refer those recipients, as appropriate, to corresponding program sites;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that qualified eligible recipients who choose to participate in the PACE program are allowed to enroll in the program</w:t>
      </w:r>
      <w:r>
        <w:t xml:space="preserve"> [</w:t>
      </w:r>
      <w:r>
        <w:rPr>
          <w:strike/>
        </w:rPr>
        <w:t xml:space="preserve">managed care organizations that contract under Chapter 533, Government Code, consider the availability of the PACE program when considering whether to refer a recipient to a nursing facility or other long-term care facility</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establish protocols for the referral of eligible persons to the PACE program</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 that the PACE enrollment census in existing and future corresponding PACE program sites is allowed to grow naturally based on need as determined by the enrollment census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commission's enrollment broker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a Medicaid recipient, including a recipient enrolled in a managed care plan under Chapter 533, Government Code, is determined eligible for nursing facility care, if the recipient resides in a PACE program service area: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 the recipient that the recipient may: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request an eligibility assessment to participate in the PACE program;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choose to enroll in the PACE program as an alternative to enrolling in a managed care plan under Chapter 533,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with the notification required by Paragraph (A) educational materials described by Subsection (e-1);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monthly basis and by electronic means, refer each recipient described by Subdivision (1) to the PACE program site in the corresponding service area.</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Department of Aging and Disability Services</w:t>
      </w:r>
      <w:r>
        <w:t xml:space="preserve">] and area agencies on aging shall develop and implement a coordinated plan to promote PACE program sites operating under this section. The executive commissioner shall adopt policies and procedures, including operating guidelines, to ensure that caseworkers and any other appropriate department staff discuss the benefits of participating in the PACE program with long-term care clients.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commission shall develop educational materials about the PACE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benefits of receiving acute care services and long-term care services through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 information for each program service area 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reads as follows: "YOU ARE ELIGIBLE TO RECEIVE MEDICAL SERVICES IN OUR HOME THROUGH THE PACE PROGRAM IN YOUR COMMUNITY.  PLEASE CONTACT THE TELEPHONE NUMBER BELOW: (telephone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