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87R12251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3371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emergency operations and weatherization plans prepared by the Electric Reliability Council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186, Utilities Code, is amended by adding Section 186.008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186.008.</w:t>
      </w:r>
      <w:r>
        <w:rPr>
          <w:u w:val="single"/>
        </w:rPr>
        <w:t xml:space="preserve"> </w:t>
      </w:r>
      <w:r>
        <w:rPr>
          <w:u w:val="single"/>
        </w:rPr>
        <w:t xml:space="preserve"> </w:t>
      </w:r>
      <w:r>
        <w:rPr>
          <w:u w:val="single"/>
        </w:rPr>
        <w:t xml:space="preserve">COMPREHENSIVE EMERGENCY OPERATIONS AND WEATHERIZATION PLAN.  (a)  In this section, "commission" means the Public Utility Commission of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1 of each year, the independent organization certified under Section 39.151 for the ERCOT power region shall prepare and deliver to the commission a comprehensive emergency operations and weatherization plan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operations plans currently on file with the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declarations of completion of weatherization preparations from all electric generation entities in the ERCOT power region;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relevant seasonal assessments of resource adequacy, including projected resource capabilities, peak demand forecasts, and expected unit outage forecasts.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analyze each emergency operations plan developed by the independent organization certified under Section 39.151 for the ERCOT power region and prepare a report on emergency operations and weatherization preparedness in this state that includes recommendations for improving the emergency operations plan, if 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submit the report described by Subsection (c) to the lieutenant governor, the speaker of the house of representatives, and the members of the legislature not later than September 1 of each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Emergency operations plans described by Subsection (b)(1) are public information except for the portions of the plans considered confidential under Chapter 552, Government Code, or other state or federal law.</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