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Pacheco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to compare and verify signatures when renting a motor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521.460,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521.460. MOTOR VEHICLE RENTALS.  (a) </w:t>
      </w:r>
      <w:r>
        <w:t xml:space="preserve"> </w:t>
      </w:r>
      <w:r>
        <w:t xml:space="preserve">A person may not rent a motor vehicle to any other person unless the other person holds a driver's license under this chapter or, if a nonresident, holds a license issued under the laws of the state or Canadian province in which the person resides, unless that state or province does not require that the operator of a motor vehicle hold a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not rent a motor vehicle to another person until inspecting the driver's license of the renter </w:t>
      </w:r>
      <w:r>
        <w:rPr>
          <w:strike/>
        </w:rPr>
        <w:t xml:space="preserve">and comparing and verifying the signature on the renter's driver's license with the renter's signature written in the person's presence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Each person who rents a motor vehicle to another shall maintain a record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the license plate issued for the motor vehicle;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name and address of the person to whom the vehicle is rented;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license number of the person to whom the vehicle is rented;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date the license was issued;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place where the license was issued.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record maintained under Subsection (c) may be inspected by any police officer or officer or employee of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